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427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963043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503AC8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260F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E2802A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78EFB8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D5A8B89">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1F25794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00</w:t>
            </w:r>
            <w:r>
              <w:rPr>
                <w:rFonts w:ascii="黑体" w:hAnsi="黑体" w:eastAsia="黑体"/>
                <w:sz w:val="21"/>
                <w:szCs w:val="21"/>
              </w:rPr>
              <w:fldChar w:fldCharType="end"/>
            </w:r>
            <w:bookmarkEnd w:id="2"/>
          </w:p>
        </w:tc>
      </w:tr>
    </w:tbl>
    <w:p w14:paraId="3CBDEC4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FB91058">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A0C0F9D">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5EE87D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CDE910">
      <w:pPr>
        <w:pStyle w:val="50"/>
        <w:framePr w:w="9639" w:h="6976" w:hRule="exact" w:hSpace="0" w:vSpace="0" w:wrap="around" w:hAnchor="page" w:y="6408"/>
        <w:jc w:val="center"/>
        <w:rPr>
          <w:rFonts w:ascii="黑体" w:hAnsi="黑体" w:eastAsia="黑体"/>
          <w:b w:val="0"/>
          <w:bCs w:val="0"/>
          <w:w w:val="100"/>
        </w:rPr>
      </w:pPr>
    </w:p>
    <w:p w14:paraId="299882C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医疗卫生团体标准转化为行业标准技术</w:t>
      </w:r>
      <w:r>
        <w:rPr>
          <w:rFonts w:hint="eastAsia"/>
        </w:rPr>
        <w:t>指南</w:t>
      </w:r>
      <w:r>
        <w:fldChar w:fldCharType="end"/>
      </w:r>
      <w:bookmarkEnd w:id="9"/>
    </w:p>
    <w:p w14:paraId="14080B7C">
      <w:pPr>
        <w:framePr w:w="9639" w:h="6974" w:hRule="exact" w:wrap="around" w:vAnchor="page" w:hAnchor="page" w:x="1419" w:y="6408" w:anchorLock="1"/>
        <w:ind w:left="-1418"/>
      </w:pPr>
    </w:p>
    <w:p w14:paraId="20F2CACC">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w:t>
      </w:r>
      <w:r>
        <w:rPr>
          <w:rFonts w:hint="eastAsia" w:eastAsia="黑体"/>
          <w:szCs w:val="28"/>
        </w:rPr>
        <w:t>guide</w:t>
      </w:r>
      <w:r>
        <w:rPr>
          <w:rFonts w:eastAsia="黑体"/>
          <w:szCs w:val="28"/>
        </w:rPr>
        <w:t xml:space="preserve"> for </w:t>
      </w:r>
      <w:r>
        <w:rPr>
          <w:rFonts w:hint="eastAsia" w:eastAsia="黑体"/>
          <w:szCs w:val="28"/>
        </w:rPr>
        <w:t>translating healthcare group standards</w:t>
      </w:r>
      <w:r>
        <w:rPr>
          <w:rFonts w:eastAsia="黑体"/>
          <w:szCs w:val="28"/>
        </w:rPr>
        <w:t xml:space="preserve"> into industry standards</w:t>
      </w:r>
      <w:r>
        <w:rPr>
          <w:rFonts w:eastAsia="黑体"/>
          <w:szCs w:val="28"/>
        </w:rPr>
        <w:fldChar w:fldCharType="end"/>
      </w:r>
      <w:bookmarkEnd w:id="10"/>
    </w:p>
    <w:p w14:paraId="6EBEEECA">
      <w:pPr>
        <w:framePr w:w="9639" w:h="6974" w:hRule="exact" w:wrap="around" w:vAnchor="page" w:hAnchor="page" w:x="1419" w:y="6408" w:anchorLock="1"/>
        <w:spacing w:line="760" w:lineRule="exact"/>
        <w:ind w:left="-1418"/>
      </w:pPr>
    </w:p>
    <w:p w14:paraId="2A9F0044">
      <w:pPr>
        <w:pStyle w:val="125"/>
        <w:framePr w:w="9639" w:h="6974" w:hRule="exact" w:wrap="around" w:vAnchor="page" w:hAnchor="page" w:x="1419" w:y="6408" w:anchorLock="1"/>
        <w:textAlignment w:val="bottom"/>
        <w:rPr>
          <w:rFonts w:eastAsia="黑体"/>
          <w:szCs w:val="28"/>
        </w:rPr>
      </w:pPr>
    </w:p>
    <w:p w14:paraId="3A067DA1">
      <w:pPr>
        <w:pStyle w:val="12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val="0"/>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5FA8B9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F9E7C9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5914DC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4749BB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4ACF58E">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北京慢性病防治与健康教育研究会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8ABF7BD">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81D2A1">
      <w:pPr>
        <w:pStyle w:val="89"/>
        <w:spacing w:before="900" w:after="360"/>
      </w:pPr>
      <w:bookmarkStart w:id="21" w:name="BookMark2"/>
      <w:r>
        <w:rPr>
          <w:spacing w:val="320"/>
        </w:rPr>
        <w:t>前</w:t>
      </w:r>
      <w:r>
        <w:t>言</w:t>
      </w:r>
    </w:p>
    <w:p w14:paraId="70FFD8DD">
      <w:pPr>
        <w:pStyle w:val="56"/>
        <w:ind w:firstLine="420"/>
      </w:pPr>
      <w:r>
        <w:rPr>
          <w:rFonts w:hint="eastAsia"/>
        </w:rPr>
        <w:t>本文件按照GB/T 1.1—2020《标准化工作导则  第1部分：标准化文件的结构和起草规则》的规定起草。</w:t>
      </w:r>
    </w:p>
    <w:p w14:paraId="16DD32EB">
      <w:pPr>
        <w:pStyle w:val="56"/>
        <w:ind w:firstLine="420"/>
      </w:pPr>
      <w:r>
        <w:rPr>
          <w:rFonts w:hint="eastAsia"/>
        </w:rPr>
        <w:t>本文件由北京医院提出。</w:t>
      </w:r>
    </w:p>
    <w:p w14:paraId="70767C11">
      <w:pPr>
        <w:pStyle w:val="56"/>
        <w:ind w:firstLine="420"/>
      </w:pPr>
      <w:r>
        <w:rPr>
          <w:rFonts w:hint="eastAsia"/>
        </w:rPr>
        <w:t>本文件由北京慢性病防治与健康教育研究会归口。</w:t>
      </w:r>
    </w:p>
    <w:p w14:paraId="44DE8C24">
      <w:pPr>
        <w:pStyle w:val="56"/>
        <w:ind w:firstLine="420"/>
      </w:pPr>
      <w:r>
        <w:rPr>
          <w:rFonts w:hint="eastAsia"/>
        </w:rPr>
        <w:t>本文件起草单位：北京医院</w:t>
      </w:r>
      <w:r>
        <w:rPr>
          <w:rFonts w:hint="eastAsia"/>
          <w:lang w:val="en-US" w:eastAsia="zh-CN"/>
        </w:rPr>
        <w:t xml:space="preserve"> 国家老年医学中心 </w:t>
      </w:r>
      <w:r>
        <w:rPr>
          <w:rFonts w:hint="eastAsia"/>
        </w:rPr>
        <w:t>国家老年疾病临床医学研究中心</w:t>
      </w:r>
      <w:r>
        <w:rPr>
          <w:rFonts w:hint="eastAsia"/>
          <w:lang w:eastAsia="zh-CN"/>
        </w:rPr>
        <w:t>、</w:t>
      </w:r>
      <w:r>
        <w:rPr>
          <w:rFonts w:hint="eastAsia"/>
        </w:rPr>
        <w:t>中华医学会老年医学分会</w:t>
      </w:r>
      <w:r>
        <w:rPr>
          <w:rFonts w:hint="eastAsia"/>
          <w:lang w:eastAsia="zh-CN"/>
        </w:rPr>
        <w:t>、北京慢性病防治与健康教育研究会、</w:t>
      </w:r>
      <w:r>
        <w:rPr>
          <w:rFonts w:hint="eastAsia"/>
        </w:rPr>
        <w:t>国家卫生健康委北京老年医学研究所</w:t>
      </w:r>
      <w:r>
        <w:rPr>
          <w:rFonts w:hint="eastAsia"/>
          <w:lang w:eastAsia="zh-CN"/>
        </w:rPr>
        <w:t>、</w:t>
      </w:r>
      <w:r>
        <w:rPr>
          <w:rFonts w:hint="eastAsia"/>
        </w:rPr>
        <w:t>四川大学华西医院</w:t>
      </w:r>
      <w:r>
        <w:rPr>
          <w:rFonts w:hint="eastAsia"/>
          <w:lang w:eastAsia="zh-CN"/>
        </w:rPr>
        <w:t>、</w:t>
      </w:r>
      <w:r>
        <w:rPr>
          <w:rFonts w:hint="eastAsia"/>
        </w:rPr>
        <w:t>国务院发展研究中心</w:t>
      </w:r>
      <w:r>
        <w:rPr>
          <w:rFonts w:hint="eastAsia"/>
          <w:lang w:eastAsia="zh-CN"/>
        </w:rPr>
        <w:t>、</w:t>
      </w:r>
      <w:r>
        <w:rPr>
          <w:rFonts w:hint="eastAsia"/>
        </w:rPr>
        <w:t>北京老年医院</w:t>
      </w:r>
      <w:r>
        <w:rPr>
          <w:rFonts w:hint="eastAsia"/>
          <w:lang w:eastAsia="zh-CN"/>
        </w:rPr>
        <w:t>、</w:t>
      </w:r>
      <w:r>
        <w:rPr>
          <w:rFonts w:hint="eastAsia"/>
        </w:rPr>
        <w:t>首都医科大学附属北京安定医院</w:t>
      </w:r>
      <w:r>
        <w:rPr>
          <w:rFonts w:hint="eastAsia"/>
          <w:lang w:eastAsia="zh-CN"/>
        </w:rPr>
        <w:t>、</w:t>
      </w:r>
      <w:r>
        <w:rPr>
          <w:rFonts w:hint="eastAsia"/>
        </w:rPr>
        <w:t>北京大学公共卫生学院</w:t>
      </w:r>
      <w:r>
        <w:rPr>
          <w:rFonts w:hint="eastAsia"/>
          <w:lang w:eastAsia="zh-CN"/>
        </w:rPr>
        <w:t>、</w:t>
      </w:r>
      <w:r>
        <w:rPr>
          <w:rFonts w:hint="eastAsia"/>
        </w:rPr>
        <w:t>首都儿科研究所</w:t>
      </w:r>
      <w:r>
        <w:rPr>
          <w:rFonts w:hint="eastAsia"/>
          <w:lang w:eastAsia="zh-CN"/>
        </w:rPr>
        <w:t>、</w:t>
      </w:r>
      <w:r>
        <w:rPr>
          <w:rFonts w:hint="eastAsia"/>
        </w:rPr>
        <w:t>中国老年医学学会</w:t>
      </w:r>
      <w:r>
        <w:rPr>
          <w:rFonts w:hint="eastAsia"/>
          <w:lang w:eastAsia="zh-CN"/>
        </w:rPr>
        <w:t>、</w:t>
      </w:r>
      <w:r>
        <w:rPr>
          <w:rFonts w:hint="eastAsia"/>
        </w:rPr>
        <w:t>Aging Medicine期刊编辑部。</w:t>
      </w:r>
    </w:p>
    <w:p w14:paraId="3F9B9D0F">
      <w:pPr>
        <w:pStyle w:val="56"/>
        <w:ind w:firstLine="420"/>
      </w:pPr>
      <w:r>
        <w:rPr>
          <w:rFonts w:hint="eastAsia"/>
        </w:rPr>
        <w:t>本文件主要起草人：张弼</w:t>
      </w:r>
      <w:r>
        <w:rPr>
          <w:rFonts w:hint="eastAsia"/>
          <w:lang w:eastAsia="zh-CN"/>
        </w:rPr>
        <w:t>、</w:t>
      </w:r>
      <w:r>
        <w:rPr>
          <w:rFonts w:hint="eastAsia"/>
        </w:rPr>
        <w:t>张鹏俊</w:t>
      </w:r>
      <w:r>
        <w:rPr>
          <w:rFonts w:hint="eastAsia"/>
          <w:lang w:eastAsia="zh-CN"/>
        </w:rPr>
        <w:t>、</w:t>
      </w:r>
      <w:r>
        <w:rPr>
          <w:rFonts w:hint="eastAsia"/>
        </w:rPr>
        <w:t>王建业</w:t>
      </w:r>
      <w:r>
        <w:rPr>
          <w:rFonts w:hint="eastAsia"/>
          <w:lang w:eastAsia="zh-CN"/>
        </w:rPr>
        <w:t>、</w:t>
      </w:r>
      <w:r>
        <w:rPr>
          <w:rFonts w:hint="eastAsia"/>
        </w:rPr>
        <w:t>杨泽</w:t>
      </w:r>
      <w:r>
        <w:rPr>
          <w:rFonts w:hint="eastAsia"/>
          <w:lang w:eastAsia="zh-CN"/>
        </w:rPr>
        <w:t>、</w:t>
      </w:r>
      <w:r>
        <w:rPr>
          <w:rFonts w:hint="eastAsia"/>
        </w:rPr>
        <w:t>李卡</w:t>
      </w:r>
      <w:r>
        <w:rPr>
          <w:rFonts w:hint="eastAsia"/>
          <w:lang w:eastAsia="zh-CN"/>
        </w:rPr>
        <w:t>、</w:t>
      </w:r>
      <w:r>
        <w:rPr>
          <w:rFonts w:hint="eastAsia"/>
        </w:rPr>
        <w:t>冯文猛</w:t>
      </w:r>
      <w:r>
        <w:rPr>
          <w:rFonts w:hint="eastAsia"/>
          <w:lang w:eastAsia="zh-CN"/>
        </w:rPr>
        <w:t>、</w:t>
      </w:r>
      <w:r>
        <w:rPr>
          <w:rFonts w:hint="eastAsia"/>
        </w:rPr>
        <w:t>宋岳涛</w:t>
      </w:r>
      <w:r>
        <w:rPr>
          <w:rFonts w:hint="eastAsia"/>
          <w:lang w:eastAsia="zh-CN"/>
        </w:rPr>
        <w:t>、</w:t>
      </w:r>
      <w:r>
        <w:rPr>
          <w:rFonts w:hint="eastAsia"/>
        </w:rPr>
        <w:t>孟玲慧</w:t>
      </w:r>
      <w:r>
        <w:rPr>
          <w:rFonts w:hint="eastAsia"/>
          <w:lang w:eastAsia="zh-CN"/>
        </w:rPr>
        <w:t>、</w:t>
      </w:r>
      <w:r>
        <w:rPr>
          <w:rFonts w:hint="eastAsia"/>
        </w:rPr>
        <w:t>周虹</w:t>
      </w:r>
      <w:r>
        <w:rPr>
          <w:rFonts w:hint="eastAsia"/>
          <w:lang w:eastAsia="zh-CN"/>
        </w:rPr>
        <w:t>、</w:t>
      </w:r>
      <w:r>
        <w:rPr>
          <w:rFonts w:hint="eastAsia"/>
        </w:rPr>
        <w:t>李瑞莉</w:t>
      </w:r>
      <w:r>
        <w:rPr>
          <w:rFonts w:hint="eastAsia"/>
          <w:lang w:eastAsia="zh-CN"/>
        </w:rPr>
        <w:t>、</w:t>
      </w:r>
      <w:r>
        <w:rPr>
          <w:rFonts w:hint="eastAsia"/>
        </w:rPr>
        <w:t>石海燕</w:t>
      </w:r>
      <w:r>
        <w:rPr>
          <w:rFonts w:hint="eastAsia"/>
          <w:lang w:eastAsia="zh-CN"/>
        </w:rPr>
        <w:t>、</w:t>
      </w:r>
      <w:r>
        <w:rPr>
          <w:rFonts w:hint="eastAsia"/>
        </w:rPr>
        <w:t>万李</w:t>
      </w:r>
      <w:r>
        <w:rPr>
          <w:rFonts w:hint="eastAsia"/>
          <w:lang w:eastAsia="zh-CN"/>
        </w:rPr>
        <w:t>、</w:t>
      </w:r>
      <w:r>
        <w:rPr>
          <w:rFonts w:hint="eastAsia"/>
        </w:rPr>
        <w:t>孟雪</w:t>
      </w:r>
      <w:r>
        <w:rPr>
          <w:rFonts w:hint="eastAsia"/>
          <w:lang w:eastAsia="zh-CN"/>
        </w:rPr>
        <w:t>、</w:t>
      </w:r>
      <w:r>
        <w:rPr>
          <w:rFonts w:hint="eastAsia"/>
        </w:rPr>
        <w:t>李鹏。</w:t>
      </w:r>
    </w:p>
    <w:p w14:paraId="2FD14293">
      <w:pPr>
        <w:pStyle w:val="56"/>
        <w:ind w:firstLine="420"/>
      </w:pPr>
    </w:p>
    <w:p w14:paraId="4EA32A91">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bookmarkStart w:id="47" w:name="_GoBack"/>
      <w:bookmarkEnd w:id="47"/>
    </w:p>
    <w:bookmarkEnd w:id="21"/>
    <w:p w14:paraId="7750ADD3">
      <w:pPr>
        <w:spacing w:line="20" w:lineRule="exact"/>
        <w:jc w:val="center"/>
        <w:rPr>
          <w:rFonts w:ascii="黑体" w:hAnsi="黑体" w:eastAsia="黑体"/>
          <w:sz w:val="32"/>
          <w:szCs w:val="32"/>
        </w:rPr>
      </w:pPr>
      <w:bookmarkStart w:id="22" w:name="BookMark4"/>
    </w:p>
    <w:p w14:paraId="6265D350">
      <w:pPr>
        <w:spacing w:line="20" w:lineRule="exact"/>
        <w:jc w:val="center"/>
        <w:rPr>
          <w:rFonts w:ascii="黑体" w:hAnsi="黑体" w:eastAsia="黑体"/>
          <w:sz w:val="32"/>
          <w:szCs w:val="32"/>
        </w:rPr>
      </w:pPr>
    </w:p>
    <w:sdt>
      <w:sdtPr>
        <w:tag w:val="NEW_STAND_NAME"/>
        <w:id w:val="595910757"/>
        <w:lock w:val="sdtLocked"/>
        <w:placeholder>
          <w:docPart w:val="C18CB1014BCE4AD080322635D2E3CBBE"/>
        </w:placeholder>
      </w:sdtPr>
      <w:sdtContent>
        <w:p w14:paraId="5E6D1471">
          <w:pPr>
            <w:pStyle w:val="177"/>
            <w:spacing w:before="2" w:beforeLines="1" w:after="528" w:afterLines="220"/>
          </w:pPr>
          <w:bookmarkStart w:id="23" w:name="NEW_STAND_NAME"/>
          <w:r>
            <w:rPr>
              <w:rFonts w:hint="eastAsia"/>
            </w:rPr>
            <w:t>医疗卫生团体标准转化为行业标准技术指南</w:t>
          </w:r>
        </w:p>
      </w:sdtContent>
    </w:sdt>
    <w:bookmarkEnd w:id="23"/>
    <w:p w14:paraId="2E6F7EB2">
      <w:pPr>
        <w:pStyle w:val="104"/>
        <w:spacing w:before="240" w:after="240"/>
      </w:pPr>
      <w:bookmarkStart w:id="24" w:name="_Toc26986771"/>
      <w:bookmarkStart w:id="25" w:name="_Toc26718930"/>
      <w:bookmarkStart w:id="26" w:name="_Toc17233325"/>
      <w:bookmarkStart w:id="27" w:name="_Toc24884218"/>
      <w:bookmarkStart w:id="28" w:name="_Toc26986530"/>
      <w:bookmarkStart w:id="29" w:name="_Toc26648465"/>
      <w:bookmarkStart w:id="30" w:name="_Toc24884211"/>
      <w:bookmarkStart w:id="31" w:name="_Toc97192964"/>
      <w:bookmarkStart w:id="32" w:name="_Toc17233333"/>
      <w:r>
        <w:rPr>
          <w:rFonts w:hint="eastAsia"/>
        </w:rPr>
        <w:t>范围</w:t>
      </w:r>
      <w:bookmarkEnd w:id="24"/>
      <w:bookmarkEnd w:id="25"/>
      <w:bookmarkEnd w:id="26"/>
      <w:bookmarkEnd w:id="27"/>
      <w:bookmarkEnd w:id="28"/>
      <w:bookmarkEnd w:id="29"/>
      <w:bookmarkEnd w:id="30"/>
      <w:bookmarkEnd w:id="31"/>
      <w:bookmarkEnd w:id="32"/>
    </w:p>
    <w:p w14:paraId="2C320E6D">
      <w:pPr>
        <w:pStyle w:val="56"/>
        <w:ind w:firstLine="420"/>
      </w:pPr>
      <w:bookmarkStart w:id="33" w:name="_Toc24884212"/>
      <w:bookmarkStart w:id="34" w:name="_Toc17233334"/>
      <w:bookmarkStart w:id="35" w:name="_Toc26648466"/>
      <w:bookmarkStart w:id="36" w:name="_Toc24884219"/>
      <w:bookmarkStart w:id="37" w:name="_Toc17233326"/>
      <w:r>
        <w:rPr>
          <w:rFonts w:hint="eastAsia"/>
        </w:rPr>
        <w:t>本文件规定了医疗卫生团体标准（以下简称“团体标准”）转化为医疗卫生行业标准（以下简称“行业标准”）的转化条件、转化程序、转化管理等要求。</w:t>
      </w:r>
    </w:p>
    <w:p w14:paraId="48554F10">
      <w:pPr>
        <w:pStyle w:val="56"/>
        <w:ind w:firstLine="420"/>
      </w:pPr>
      <w:r>
        <w:rPr>
          <w:rFonts w:hint="eastAsia"/>
        </w:rPr>
        <w:t>本文件适用于团体标准转化为行业标准的评估和推荐。</w:t>
      </w:r>
    </w:p>
    <w:p w14:paraId="7E369F5D">
      <w:pPr>
        <w:pStyle w:val="104"/>
        <w:spacing w:before="240" w:after="240"/>
      </w:pPr>
      <w:bookmarkStart w:id="38" w:name="_Toc26986772"/>
      <w:bookmarkStart w:id="39" w:name="_Toc97192965"/>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C52FF61149F44BAADFE9ECEB7E5FD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BD7BEC4">
          <w:pPr>
            <w:pStyle w:val="56"/>
            <w:ind w:firstLine="420"/>
          </w:pPr>
          <w:r>
            <w:rPr>
              <w:rFonts w:hint="eastAsia"/>
            </w:rPr>
            <w:t>本文件没有规范性引用文件。</w:t>
          </w:r>
        </w:p>
      </w:sdtContent>
    </w:sdt>
    <w:p w14:paraId="259384A6">
      <w:pPr>
        <w:pStyle w:val="104"/>
        <w:spacing w:before="240" w:after="240"/>
      </w:pPr>
      <w:bookmarkStart w:id="42" w:name="_Toc97192966"/>
      <w:r>
        <w:rPr>
          <w:rFonts w:hint="eastAsia"/>
          <w:szCs w:val="21"/>
        </w:rPr>
        <w:t>术语和定义</w:t>
      </w:r>
      <w:bookmarkEnd w:id="42"/>
    </w:p>
    <w:sdt>
      <w:sdtPr>
        <w:id w:val="-1909835108"/>
        <w:placeholder>
          <w:docPart w:val="E8BC310E173944958317BDC8F0877A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236644">
          <w:pPr>
            <w:pStyle w:val="56"/>
            <w:ind w:firstLine="420"/>
          </w:pPr>
          <w:bookmarkStart w:id="43" w:name="_Toc26986532"/>
          <w:bookmarkEnd w:id="43"/>
          <w:r>
            <w:t>下列术语和定义适用于本文件。</w:t>
          </w:r>
        </w:p>
      </w:sdtContent>
    </w:sdt>
    <w:p w14:paraId="707A784C">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行业标准  industry standard</w:t>
      </w:r>
    </w:p>
    <w:p w14:paraId="1AD7AF97">
      <w:pPr>
        <w:pStyle w:val="56"/>
        <w:ind w:firstLine="436"/>
      </w:pPr>
      <w:r>
        <w:rPr>
          <w:rFonts w:ascii="Arial" w:hAnsi="Arial" w:cs="Arial"/>
          <w:spacing w:val="4"/>
          <w:szCs w:val="21"/>
          <w:bdr w:val="single" w:color="E5E7EB" w:sz="2" w:space="0"/>
          <w:shd w:val="clear" w:color="auto" w:fill="FFFFFF"/>
        </w:rPr>
        <w:t>对没有</w:t>
      </w:r>
      <w:r>
        <w:t>国家标准</w:t>
      </w:r>
      <w:r>
        <w:rPr>
          <w:rFonts w:ascii="Arial" w:hAnsi="Arial" w:cs="Arial"/>
          <w:spacing w:val="4"/>
          <w:szCs w:val="21"/>
          <w:bdr w:val="single" w:color="E5E7EB" w:sz="2" w:space="0"/>
          <w:shd w:val="clear" w:color="auto" w:fill="FFFFFF"/>
        </w:rPr>
        <w:t>而又需要在全国某个行业范围内统一技术要求所制定的标准。</w:t>
      </w:r>
      <w:r>
        <w:t>行业标准</w:t>
      </w:r>
      <w:r>
        <w:rPr>
          <w:rFonts w:ascii="Arial" w:hAnsi="Arial" w:cs="Arial"/>
          <w:spacing w:val="4"/>
          <w:szCs w:val="21"/>
          <w:bdr w:val="single" w:color="E5E7EB" w:sz="2" w:space="0"/>
          <w:shd w:val="clear" w:color="auto" w:fill="FFFFFF"/>
        </w:rPr>
        <w:t>不得与有关</w:t>
      </w:r>
      <w:r>
        <w:t>国家标准</w:t>
      </w:r>
      <w:r>
        <w:rPr>
          <w:rFonts w:ascii="Arial" w:hAnsi="Arial" w:cs="Arial"/>
          <w:spacing w:val="4"/>
          <w:szCs w:val="21"/>
          <w:bdr w:val="single" w:color="E5E7EB" w:sz="2" w:space="0"/>
          <w:shd w:val="clear" w:color="auto" w:fill="FFFFFF"/>
        </w:rPr>
        <w:t>相抵触。</w:t>
      </w:r>
      <w:r>
        <w:rPr>
          <w:rFonts w:hint="eastAsia"/>
        </w:rPr>
        <w:t>。</w:t>
      </w:r>
    </w:p>
    <w:p w14:paraId="18AB0551">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团体标准  </w:t>
      </w:r>
      <w:r>
        <w:rPr>
          <w:rFonts w:ascii="黑体" w:hAnsi="黑体" w:eastAsia="黑体"/>
        </w:rPr>
        <w:t>group</w:t>
      </w:r>
      <w:r>
        <w:rPr>
          <w:rFonts w:hint="eastAsia" w:ascii="黑体" w:hAnsi="黑体" w:eastAsia="黑体"/>
        </w:rPr>
        <w:t xml:space="preserve"> standard</w:t>
      </w:r>
      <w:r>
        <w:rPr>
          <w:rFonts w:ascii="黑体" w:hAnsi="黑体" w:eastAsia="黑体"/>
        </w:rPr>
        <w:br w:type="textWrapping"/>
      </w:r>
      <w:r>
        <w:rPr>
          <w:rFonts w:hint="eastAsia"/>
        </w:rPr>
        <w:t xml:space="preserve"> </w:t>
      </w:r>
      <w:r>
        <w:t xml:space="preserve">   </w:t>
      </w:r>
      <w:r>
        <w:rPr>
          <w:rFonts w:hint="eastAsia"/>
        </w:rPr>
        <w:t>由学会、协会、商会、联合会、产业技术联盟等社会团体协调相关市场主体共同制定发布的、满足市场和创新需要的标准。</w:t>
      </w:r>
    </w:p>
    <w:p w14:paraId="7118B6B8">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标准转化  standard transform</w:t>
      </w:r>
      <w:r>
        <w:rPr>
          <w:rFonts w:ascii="黑体" w:hAnsi="黑体" w:eastAsia="黑体"/>
        </w:rPr>
        <w:t>ation</w:t>
      </w:r>
    </w:p>
    <w:p w14:paraId="4BA25299">
      <w:pPr>
        <w:pStyle w:val="56"/>
        <w:ind w:firstLine="480"/>
      </w:pPr>
      <w:r>
        <w:rPr>
          <w:rFonts w:hint="eastAsia" w:hAnsi="宋体" w:cs="宋体"/>
          <w:color w:val="000000"/>
          <w:sz w:val="24"/>
          <w:szCs w:val="24"/>
          <w:shd w:val="clear" w:color="auto" w:fill="FFFFFF"/>
        </w:rPr>
        <w:t>一般</w:t>
      </w:r>
      <w:r>
        <w:rPr>
          <w:rFonts w:hint="eastAsia"/>
          <w:szCs w:val="21"/>
        </w:rPr>
        <w:t>指将某一领域、层级或类型的标准，通过技术分析、内容调整、格式适配等过程，转变为另一领域、层级或类型标准的活动。本文件中指</w:t>
      </w:r>
      <w:r>
        <w:rPr>
          <w:rFonts w:hint="eastAsia"/>
        </w:rPr>
        <w:t>通过评估、审查等程序，将团体标准制定为行业标准的过程。</w:t>
      </w:r>
    </w:p>
    <w:p w14:paraId="61D2D7DC">
      <w:pPr>
        <w:pStyle w:val="104"/>
        <w:spacing w:before="240" w:after="240"/>
      </w:pPr>
      <w:r>
        <w:rPr>
          <w:rFonts w:hint="eastAsia"/>
        </w:rPr>
        <w:t>转化条件</w:t>
      </w:r>
    </w:p>
    <w:p w14:paraId="4523B688">
      <w:pPr>
        <w:pStyle w:val="56"/>
        <w:ind w:firstLine="420"/>
      </w:pPr>
      <w:r>
        <w:rPr>
          <w:rFonts w:hint="eastAsia"/>
        </w:rPr>
        <w:t>申请转化为行业标准的团体标准应同时满足以下所有条件：</w:t>
      </w:r>
    </w:p>
    <w:p w14:paraId="34C6432D">
      <w:pPr>
        <w:pStyle w:val="105"/>
        <w:spacing w:before="120" w:after="120"/>
      </w:pPr>
      <w:r>
        <w:rPr>
          <w:rFonts w:hint="eastAsia"/>
        </w:rPr>
        <w:t>标准制定要求</w:t>
      </w:r>
    </w:p>
    <w:p w14:paraId="2D293250">
      <w:pPr>
        <w:pStyle w:val="174"/>
        <w:numPr>
          <w:ilvl w:val="0"/>
          <w:numId w:val="32"/>
        </w:numPr>
      </w:pPr>
      <w:r>
        <w:rPr>
          <w:rFonts w:hint="eastAsia"/>
        </w:rPr>
        <w:t>属于相关领域国家标准、行业标准制定范围；</w:t>
      </w:r>
    </w:p>
    <w:p w14:paraId="78513B5D">
      <w:pPr>
        <w:pStyle w:val="174"/>
        <w:numPr>
          <w:ilvl w:val="0"/>
          <w:numId w:val="32"/>
        </w:numPr>
      </w:pPr>
      <w:r>
        <w:rPr>
          <w:rFonts w:hint="eastAsia" w:hAnsi="宋体"/>
        </w:rPr>
        <w:t>标准制定程序规范，符合《团体标准管理规定》（国标委联〔2019〕1号）；</w:t>
      </w:r>
    </w:p>
    <w:p w14:paraId="35AF3874">
      <w:pPr>
        <w:pStyle w:val="174"/>
        <w:numPr>
          <w:ilvl w:val="0"/>
          <w:numId w:val="32"/>
        </w:numPr>
        <w:rPr>
          <w:rFonts w:ascii="Times New Roman"/>
          <w:color w:val="000000"/>
        </w:rPr>
      </w:pPr>
      <w:r>
        <w:rPr>
          <w:rFonts w:hint="eastAsia"/>
        </w:rPr>
        <w:t>标准文本规范，符合GB/T 1.1的要求；</w:t>
      </w:r>
    </w:p>
    <w:p w14:paraId="02DF1EA5">
      <w:pPr>
        <w:pStyle w:val="174"/>
        <w:numPr>
          <w:ilvl w:val="0"/>
          <w:numId w:val="32"/>
        </w:numPr>
      </w:pPr>
      <w:r>
        <w:rPr>
          <w:rFonts w:hint="eastAsia"/>
        </w:rPr>
        <w:t>标准制定过程应公开透明，已广泛征求意见；</w:t>
      </w:r>
    </w:p>
    <w:p w14:paraId="6C92587A">
      <w:pPr>
        <w:pStyle w:val="174"/>
        <w:rPr>
          <w:rFonts w:ascii="Times New Roman"/>
          <w:color w:val="000000"/>
        </w:rPr>
      </w:pPr>
      <w:r>
        <w:rPr>
          <w:rFonts w:hint="eastAsia"/>
        </w:rPr>
        <w:t>知识产权清晰、无纠纷；</w:t>
      </w:r>
    </w:p>
    <w:p w14:paraId="2F789BDC">
      <w:pPr>
        <w:pStyle w:val="174"/>
      </w:pPr>
      <w:r>
        <w:rPr>
          <w:rFonts w:hint="eastAsia"/>
        </w:rPr>
        <w:t>符合我国法律法规要求，不得设置排除或限制市场竞争的条款</w:t>
      </w:r>
      <w:r>
        <w:rPr>
          <w:rFonts w:hint="eastAsia" w:hAnsi="宋体"/>
        </w:rPr>
        <w:t>。</w:t>
      </w:r>
    </w:p>
    <w:p w14:paraId="11F17559">
      <w:pPr>
        <w:pStyle w:val="105"/>
        <w:spacing w:before="120" w:after="120"/>
      </w:pPr>
      <w:r>
        <w:rPr>
          <w:rFonts w:hint="eastAsia"/>
        </w:rPr>
        <w:t>标准起草发布要求</w:t>
      </w:r>
    </w:p>
    <w:p w14:paraId="5D77D470">
      <w:pPr>
        <w:pStyle w:val="174"/>
        <w:numPr>
          <w:ilvl w:val="0"/>
          <w:numId w:val="33"/>
        </w:numPr>
      </w:pPr>
      <w:r>
        <w:rPr>
          <w:rFonts w:hint="eastAsia"/>
        </w:rPr>
        <w:t>由标准发布机构公告发布，已在全国团体标准信息平台（</w:t>
      </w:r>
      <w:r>
        <w:t>https://www.ttbz.org.cn/</w:t>
      </w:r>
      <w:r>
        <w:rPr>
          <w:rFonts w:hint="eastAsia"/>
        </w:rPr>
        <w:t>）登记；</w:t>
      </w:r>
    </w:p>
    <w:p w14:paraId="6184BA50">
      <w:pPr>
        <w:pStyle w:val="174"/>
        <w:rPr>
          <w:rFonts w:ascii="Times New Roman"/>
          <w:color w:val="000000"/>
        </w:rPr>
      </w:pPr>
      <w:r>
        <w:rPr>
          <w:rFonts w:hint="eastAsia"/>
        </w:rPr>
        <w:t>标准发布机构应无不良信用记录，且最近一次年检</w:t>
      </w:r>
      <w:r>
        <w:rPr>
          <w:rFonts w:hint="eastAsia"/>
          <w:color w:val="000000"/>
          <w:szCs w:val="21"/>
        </w:rPr>
        <w:t>合格</w:t>
      </w:r>
      <w:r>
        <w:rPr>
          <w:rFonts w:hint="eastAsia" w:hAnsi="宋体"/>
          <w:color w:val="000000"/>
        </w:rPr>
        <w:t>；</w:t>
      </w:r>
    </w:p>
    <w:p w14:paraId="365D00A7">
      <w:pPr>
        <w:pStyle w:val="174"/>
      </w:pPr>
      <w:r>
        <w:rPr>
          <w:rFonts w:hint="eastAsia"/>
        </w:rPr>
        <w:t>第一起草单位应具有较高的行业影响力和技术实力，申请标准转化之日前的</w:t>
      </w:r>
      <w:r>
        <w:rPr>
          <w:rFonts w:hint="eastAsia"/>
          <w:color w:val="000000"/>
          <w:szCs w:val="21"/>
        </w:rPr>
        <w:t>3年内无严重违法失信记录；</w:t>
      </w:r>
    </w:p>
    <w:p w14:paraId="69D6657E">
      <w:pPr>
        <w:pStyle w:val="174"/>
      </w:pPr>
      <w:r>
        <w:rPr>
          <w:rFonts w:hint="eastAsia"/>
        </w:rPr>
        <w:t>第一起草人应在相关领域具有较高学术地位及影响力。</w:t>
      </w:r>
    </w:p>
    <w:p w14:paraId="28F9B381">
      <w:pPr>
        <w:pStyle w:val="105"/>
        <w:spacing w:before="120" w:after="120"/>
      </w:pPr>
      <w:r>
        <w:rPr>
          <w:rFonts w:hint="eastAsia"/>
        </w:rPr>
        <w:t>标准技术指标要求</w:t>
      </w:r>
    </w:p>
    <w:p w14:paraId="15D8550D">
      <w:pPr>
        <w:pStyle w:val="174"/>
        <w:numPr>
          <w:ilvl w:val="0"/>
          <w:numId w:val="34"/>
        </w:numPr>
      </w:pPr>
      <w:r>
        <w:rPr>
          <w:rFonts w:hint="eastAsia" w:hAnsi="宋体"/>
        </w:rPr>
        <w:t>技术指标应经过科学论证，相关科学研究结果可重复、可验证</w:t>
      </w:r>
      <w:r>
        <w:rPr>
          <w:rFonts w:hint="eastAsia"/>
        </w:rPr>
        <w:t>；</w:t>
      </w:r>
    </w:p>
    <w:p w14:paraId="4FECD18B">
      <w:pPr>
        <w:pStyle w:val="174"/>
        <w:numPr>
          <w:ilvl w:val="0"/>
          <w:numId w:val="34"/>
        </w:numPr>
      </w:pPr>
      <w:r>
        <w:rPr>
          <w:rFonts w:hint="eastAsia"/>
        </w:rPr>
        <w:t>与现行有效的国家标准、行业标准协调一致，无冲突、不重复；</w:t>
      </w:r>
    </w:p>
    <w:p w14:paraId="67769C3F">
      <w:pPr>
        <w:pStyle w:val="174"/>
      </w:pPr>
      <w:r>
        <w:rPr>
          <w:rFonts w:hint="eastAsia"/>
        </w:rPr>
        <w:t>吸纳先进技术、成果作为技术指标，或填补国际/国内空白，且技术指标不得低于我国强制性标准的相关技术要求；</w:t>
      </w:r>
    </w:p>
    <w:p w14:paraId="7D940067">
      <w:pPr>
        <w:pStyle w:val="174"/>
        <w:rPr>
          <w:rFonts w:ascii="Times New Roman"/>
          <w:color w:val="000000"/>
        </w:rPr>
      </w:pPr>
      <w:r>
        <w:rPr>
          <w:rFonts w:hint="eastAsia" w:hAnsi="宋体"/>
        </w:rPr>
        <w:t>全国、全行业普遍适用，满足市场需求、可执行。</w:t>
      </w:r>
    </w:p>
    <w:p w14:paraId="28FB0AFF">
      <w:pPr>
        <w:pStyle w:val="105"/>
        <w:spacing w:before="120" w:after="120"/>
      </w:pPr>
      <w:r>
        <w:rPr>
          <w:rFonts w:hint="eastAsia"/>
        </w:rPr>
        <w:t>标准实施要求</w:t>
      </w:r>
    </w:p>
    <w:p w14:paraId="22A9B868">
      <w:pPr>
        <w:pStyle w:val="174"/>
        <w:numPr>
          <w:ilvl w:val="0"/>
          <w:numId w:val="35"/>
        </w:numPr>
      </w:pPr>
      <w:r>
        <w:rPr>
          <w:rFonts w:hint="eastAsia"/>
        </w:rPr>
        <w:t>现行有效且实施满</w:t>
      </w:r>
      <w:r>
        <w:t>2</w:t>
      </w:r>
      <w:r>
        <w:rPr>
          <w:rFonts w:hint="eastAsia"/>
        </w:rPr>
        <w:t>年；</w:t>
      </w:r>
    </w:p>
    <w:p w14:paraId="69FF8A07">
      <w:pPr>
        <w:pStyle w:val="174"/>
        <w:numPr>
          <w:ilvl w:val="0"/>
          <w:numId w:val="35"/>
        </w:numPr>
      </w:pPr>
      <w:r>
        <w:rPr>
          <w:rFonts w:hint="eastAsia"/>
        </w:rPr>
        <w:t>标准化行政主管部门未收到过该标准实施方面的投诉；</w:t>
      </w:r>
    </w:p>
    <w:p w14:paraId="194BC323">
      <w:pPr>
        <w:pStyle w:val="174"/>
        <w:rPr>
          <w:kern w:val="2"/>
          <w:szCs w:val="21"/>
        </w:rPr>
      </w:pPr>
      <w:r>
        <w:rPr>
          <w:rFonts w:hint="eastAsia"/>
        </w:rPr>
        <w:t>在我国东部、中部、西部和东北地区均有推广应用和宣贯；</w:t>
      </w:r>
    </w:p>
    <w:p w14:paraId="583939F0">
      <w:pPr>
        <w:pStyle w:val="174"/>
        <w:rPr>
          <w:kern w:val="2"/>
          <w:szCs w:val="21"/>
        </w:rPr>
      </w:pPr>
      <w:r>
        <w:rPr>
          <w:rFonts w:hint="eastAsia"/>
        </w:rPr>
        <w:t>在法律、法规、政策、行政管理、公共管理、政府采购、生产经营等方面得到引用或采信，或在检验检测及认证认可中得到应用；</w:t>
      </w:r>
    </w:p>
    <w:p w14:paraId="748863F2">
      <w:pPr>
        <w:pStyle w:val="174"/>
      </w:pPr>
      <w:r>
        <w:rPr>
          <w:rFonts w:hint="eastAsia"/>
        </w:rPr>
        <w:t>具有社会效益和/或经济效益和/或生态效益。</w:t>
      </w:r>
    </w:p>
    <w:p w14:paraId="462CD82F">
      <w:pPr>
        <w:pStyle w:val="104"/>
        <w:spacing w:before="240" w:after="240"/>
      </w:pPr>
      <w:r>
        <w:rPr>
          <w:rFonts w:hint="eastAsia"/>
        </w:rPr>
        <w:t>转化程序</w:t>
      </w:r>
    </w:p>
    <w:p w14:paraId="1666A5A0">
      <w:pPr>
        <w:pStyle w:val="105"/>
        <w:spacing w:before="120" w:after="120"/>
      </w:pPr>
      <w:r>
        <w:rPr>
          <w:rFonts w:hint="eastAsia"/>
        </w:rPr>
        <w:t>申请</w:t>
      </w:r>
    </w:p>
    <w:p w14:paraId="068E144E">
      <w:pPr>
        <w:pStyle w:val="56"/>
        <w:ind w:firstLine="420"/>
      </w:pPr>
      <w:r>
        <w:rPr>
          <w:rFonts w:hint="eastAsia"/>
        </w:rPr>
        <w:t>团体标准发布机构向国家卫生健康标准委员会相关行业标准专业委员会提出标准转化申请，申请材料包括：</w:t>
      </w:r>
    </w:p>
    <w:p w14:paraId="0144785F">
      <w:pPr>
        <w:pStyle w:val="174"/>
        <w:numPr>
          <w:ilvl w:val="0"/>
          <w:numId w:val="36"/>
        </w:numPr>
      </w:pPr>
      <w:r>
        <w:rPr>
          <w:rFonts w:hint="eastAsia"/>
        </w:rPr>
        <w:t>标准转化申请表，参见附录B；</w:t>
      </w:r>
    </w:p>
    <w:p w14:paraId="4D62D201">
      <w:pPr>
        <w:pStyle w:val="174"/>
        <w:numPr>
          <w:ilvl w:val="0"/>
          <w:numId w:val="36"/>
        </w:numPr>
      </w:pPr>
      <w:r>
        <w:rPr>
          <w:rFonts w:hint="eastAsia"/>
        </w:rPr>
        <w:t>团体标准文本；</w:t>
      </w:r>
    </w:p>
    <w:p w14:paraId="555EBE64">
      <w:pPr>
        <w:pStyle w:val="174"/>
      </w:pPr>
      <w:r>
        <w:rPr>
          <w:rFonts w:hint="eastAsia"/>
        </w:rPr>
        <w:t>团体标准编制说明，参见附录C；</w:t>
      </w:r>
    </w:p>
    <w:p w14:paraId="65DAFDD7">
      <w:pPr>
        <w:pStyle w:val="174"/>
      </w:pPr>
      <w:r>
        <w:rPr>
          <w:rFonts w:hint="eastAsia"/>
        </w:rPr>
        <w:t>团体标准征求意见及采纳情况汇总表，参见附录D；</w:t>
      </w:r>
    </w:p>
    <w:p w14:paraId="339A2C9B">
      <w:pPr>
        <w:pStyle w:val="174"/>
      </w:pPr>
      <w:r>
        <w:rPr>
          <w:rFonts w:hint="eastAsia"/>
        </w:rPr>
        <w:t>团体标准实施情况报告，参见附录</w:t>
      </w:r>
      <w:r>
        <w:t>E</w:t>
      </w:r>
      <w:r>
        <w:rPr>
          <w:rFonts w:hint="eastAsia"/>
        </w:rPr>
        <w:t>；</w:t>
      </w:r>
    </w:p>
    <w:p w14:paraId="623408CC">
      <w:pPr>
        <w:pStyle w:val="174"/>
      </w:pPr>
      <w:r>
        <w:rPr>
          <w:rFonts w:hint="eastAsia"/>
        </w:rPr>
        <w:t>相关行业标准专业委员会认为须提供的其他相关材料。</w:t>
      </w:r>
    </w:p>
    <w:p w14:paraId="08F025ED">
      <w:pPr>
        <w:pStyle w:val="105"/>
        <w:spacing w:before="120" w:after="120"/>
      </w:pPr>
      <w:r>
        <w:rPr>
          <w:rFonts w:hint="eastAsia"/>
        </w:rPr>
        <w:t>专业评估</w:t>
      </w:r>
    </w:p>
    <w:p w14:paraId="2BC68947">
      <w:pPr>
        <w:pStyle w:val="65"/>
        <w:spacing w:before="120" w:after="120"/>
        <w:rPr>
          <w:rFonts w:ascii="宋体" w:eastAsia="宋体"/>
        </w:rPr>
      </w:pPr>
      <w:r>
        <w:rPr>
          <w:rFonts w:hint="eastAsia" w:ascii="宋体" w:eastAsia="宋体"/>
        </w:rPr>
        <w:t>相关行业标准专业委员会应对申请转化的标准开展专业评估，宜采取会议评估方式。评估专家人数应为单数，不少于5人。宜优先从相关行业标准专业委员会委员中，根据技术领域选择专家纳入评估专家组。评估专家应符合以下要求：</w:t>
      </w:r>
    </w:p>
    <w:p w14:paraId="1EC67217">
      <w:pPr>
        <w:pStyle w:val="174"/>
        <w:numPr>
          <w:ilvl w:val="0"/>
          <w:numId w:val="37"/>
        </w:numPr>
      </w:pPr>
      <w:r>
        <w:rPr>
          <w:rFonts w:hint="eastAsia"/>
        </w:rPr>
        <w:t>与标准发布机构、第一起草单位、所有起草人无利益关联或利益冲突；</w:t>
      </w:r>
    </w:p>
    <w:p w14:paraId="20E8217E">
      <w:pPr>
        <w:pStyle w:val="174"/>
      </w:pPr>
      <w:r>
        <w:rPr>
          <w:rFonts w:hint="eastAsia"/>
        </w:rPr>
        <w:t>具有高级专业技术职称或同等专业水平；</w:t>
      </w:r>
    </w:p>
    <w:p w14:paraId="2ED5D6EF">
      <w:pPr>
        <w:pStyle w:val="174"/>
      </w:pPr>
      <w:r>
        <w:rPr>
          <w:rFonts w:hint="eastAsia"/>
        </w:rPr>
        <w:t>具备与评估内容相关的专业能力，或标准化专业能力；</w:t>
      </w:r>
    </w:p>
    <w:p w14:paraId="0AED86EA">
      <w:pPr>
        <w:pStyle w:val="174"/>
      </w:pPr>
      <w:r>
        <w:rPr>
          <w:rFonts w:hint="eastAsia"/>
        </w:rPr>
        <w:t>坚持公平公正的评估原则。</w:t>
      </w:r>
    </w:p>
    <w:p w14:paraId="6688E744">
      <w:pPr>
        <w:pStyle w:val="65"/>
        <w:spacing w:before="120" w:after="120"/>
        <w:rPr>
          <w:rFonts w:ascii="宋体" w:eastAsia="宋体"/>
        </w:rPr>
      </w:pPr>
      <w:r>
        <w:rPr>
          <w:rFonts w:hint="eastAsia" w:ascii="宋体" w:eastAsia="宋体"/>
        </w:rPr>
        <w:t>评估专家应按照附录</w:t>
      </w:r>
      <w:r>
        <w:rPr>
          <w:rFonts w:ascii="宋体" w:eastAsia="宋体"/>
        </w:rPr>
        <w:t>A.1</w:t>
      </w:r>
      <w:r>
        <w:rPr>
          <w:rFonts w:hint="eastAsia" w:ascii="宋体" w:eastAsia="宋体"/>
        </w:rPr>
        <w:t>对标准进行评估，填写不完整的表格视为无效。</w:t>
      </w:r>
    </w:p>
    <w:p w14:paraId="1C26682D">
      <w:pPr>
        <w:pStyle w:val="65"/>
        <w:spacing w:before="120" w:after="120"/>
        <w:rPr>
          <w:rFonts w:ascii="宋体" w:hAnsi="宋体" w:eastAsia="宋体"/>
        </w:rPr>
      </w:pPr>
      <w:r>
        <w:rPr>
          <w:rFonts w:hint="eastAsia" w:ascii="宋体" w:eastAsia="宋体"/>
        </w:rPr>
        <w:t>相关行业标准专业委员会应对</w:t>
      </w:r>
      <w:r>
        <w:rPr>
          <w:rFonts w:hint="eastAsia" w:ascii="宋体" w:hAnsi="宋体" w:eastAsia="宋体"/>
        </w:rPr>
        <w:t>专业评估形成会议纪要，内容包括会议时间、专家信息、评估意见、评估结果等。</w:t>
      </w:r>
    </w:p>
    <w:p w14:paraId="1F9425EF">
      <w:pPr>
        <w:pStyle w:val="65"/>
        <w:spacing w:before="120" w:after="120"/>
        <w:rPr>
          <w:rFonts w:hAnsi="宋体"/>
        </w:rPr>
      </w:pPr>
      <w:r>
        <w:rPr>
          <w:rFonts w:hint="eastAsia" w:ascii="宋体" w:hAnsi="宋体" w:eastAsia="宋体"/>
        </w:rPr>
        <w:t>附录A.1评估结果中，如半数以上评估专家的意见为“同意推荐转化”，则该评估标准宜推荐转化为行业标准。</w:t>
      </w:r>
      <w:r>
        <w:rPr>
          <w:rFonts w:hint="eastAsia" w:hAnsi="宋体"/>
        </w:rPr>
        <w:t>。</w:t>
      </w:r>
    </w:p>
    <w:p w14:paraId="65AD5DF7">
      <w:pPr>
        <w:pStyle w:val="65"/>
        <w:spacing w:before="120" w:after="120"/>
        <w:rPr>
          <w:rFonts w:ascii="宋体" w:hAnsi="宋体" w:eastAsia="宋体"/>
        </w:rPr>
      </w:pPr>
      <w:r>
        <w:rPr>
          <w:rFonts w:hint="eastAsia" w:ascii="宋体" w:hAnsi="宋体" w:eastAsia="宋体"/>
        </w:rPr>
        <w:t>评估结果应采取适当形式予以公示，公示时间不少于5个工作日。</w:t>
      </w:r>
    </w:p>
    <w:p w14:paraId="104D52A7">
      <w:pPr>
        <w:pStyle w:val="105"/>
        <w:spacing w:before="120" w:after="120"/>
      </w:pPr>
      <w:r>
        <w:rPr>
          <w:rFonts w:hint="eastAsia"/>
        </w:rPr>
        <w:t>推荐</w:t>
      </w:r>
    </w:p>
    <w:p w14:paraId="012135BD">
      <w:pPr>
        <w:pStyle w:val="56"/>
        <w:ind w:firstLine="420"/>
      </w:pPr>
      <w:r>
        <w:rPr>
          <w:rFonts w:hint="eastAsia"/>
        </w:rPr>
        <w:t>经评估宜推荐为行业标准的团体标准，可由行业标准专业委员会推荐至标准化行政主管部门。</w:t>
      </w:r>
    </w:p>
    <w:p w14:paraId="3867F0E8">
      <w:pPr>
        <w:pStyle w:val="104"/>
        <w:spacing w:before="240" w:after="240"/>
      </w:pPr>
      <w:r>
        <w:rPr>
          <w:rFonts w:hint="eastAsia"/>
        </w:rPr>
        <w:t>转化管理</w:t>
      </w:r>
    </w:p>
    <w:p w14:paraId="4BE58808">
      <w:pPr>
        <w:pStyle w:val="105"/>
        <w:spacing w:before="120" w:after="120"/>
      </w:pPr>
      <w:r>
        <w:rPr>
          <w:rFonts w:hint="eastAsia"/>
        </w:rPr>
        <w:t>职责分工</w:t>
      </w:r>
    </w:p>
    <w:p w14:paraId="502194BB">
      <w:pPr>
        <w:pStyle w:val="65"/>
        <w:spacing w:before="120" w:after="120"/>
      </w:pPr>
      <w:r>
        <w:rPr>
          <w:rFonts w:hint="eastAsia" w:ascii="宋体" w:eastAsia="宋体"/>
        </w:rPr>
        <w:t>团体标准发布机构负责提出转化申请，配合评估、推荐等工作。</w:t>
      </w:r>
    </w:p>
    <w:p w14:paraId="6792A0A0">
      <w:pPr>
        <w:pStyle w:val="65"/>
        <w:spacing w:before="120" w:after="120"/>
        <w:rPr>
          <w:rFonts w:ascii="宋体" w:eastAsia="宋体"/>
        </w:rPr>
      </w:pPr>
      <w:r>
        <w:rPr>
          <w:rFonts w:hint="eastAsia" w:ascii="宋体" w:eastAsia="宋体"/>
        </w:rPr>
        <w:t>相关行业标准专业委员会负责组织团体标准的评估和推荐工作。</w:t>
      </w:r>
    </w:p>
    <w:p w14:paraId="14BA19D9">
      <w:pPr>
        <w:pStyle w:val="105"/>
        <w:spacing w:before="120" w:after="120"/>
      </w:pPr>
      <w:r>
        <w:rPr>
          <w:rFonts w:hint="eastAsia"/>
        </w:rPr>
        <w:t>监督管理</w:t>
      </w:r>
    </w:p>
    <w:p w14:paraId="72575A00">
      <w:pPr>
        <w:pStyle w:val="65"/>
        <w:spacing w:before="120" w:after="120"/>
        <w:rPr>
          <w:rFonts w:ascii="宋体" w:hAnsi="宋体" w:eastAsia="宋体"/>
        </w:rPr>
      </w:pPr>
      <w:r>
        <w:rPr>
          <w:rFonts w:hint="eastAsia" w:ascii="宋体" w:hAnsi="宋体" w:eastAsia="宋体"/>
        </w:rPr>
        <w:t>相关行业标准专业委员会应加强对本领域团体标准转化工作的监督管理，确保转化工作规范有序。</w:t>
      </w:r>
    </w:p>
    <w:p w14:paraId="3A4023B9">
      <w:pPr>
        <w:pStyle w:val="65"/>
        <w:spacing w:before="120" w:after="120"/>
        <w:rPr>
          <w:rFonts w:ascii="宋体" w:hAnsi="宋体" w:eastAsia="宋体"/>
        </w:rPr>
      </w:pPr>
      <w:r>
        <w:rPr>
          <w:rFonts w:hint="eastAsia" w:ascii="宋体" w:hAnsi="宋体" w:eastAsia="宋体"/>
        </w:rPr>
        <w:t>应建立监督反馈机制，公布标准第一起草人或其联系人的联系方式等信息。</w:t>
      </w:r>
    </w:p>
    <w:p w14:paraId="1D0F0977">
      <w:pPr>
        <w:pStyle w:val="65"/>
        <w:spacing w:before="120" w:after="120"/>
        <w:rPr>
          <w:rFonts w:ascii="宋体" w:hAnsi="宋体" w:eastAsia="宋体"/>
        </w:rPr>
        <w:sectPr>
          <w:pgSz w:w="11906" w:h="16838"/>
          <w:pgMar w:top="1928" w:right="1134" w:bottom="1134" w:left="1134" w:header="1418" w:footer="1134" w:gutter="284"/>
          <w:pgNumType w:start="1"/>
          <w:cols w:space="425" w:num="1"/>
          <w:formProt w:val="0"/>
          <w:docGrid w:linePitch="312" w:charSpace="0"/>
        </w:sectPr>
      </w:pPr>
    </w:p>
    <w:bookmarkEnd w:id="22"/>
    <w:p w14:paraId="446D5D19">
      <w:pPr>
        <w:pStyle w:val="198"/>
        <w:rPr>
          <w:vanish w:val="0"/>
        </w:rPr>
      </w:pPr>
      <w:bookmarkStart w:id="44" w:name="BookMark5"/>
    </w:p>
    <w:p w14:paraId="60A1CF14">
      <w:pPr>
        <w:pStyle w:val="199"/>
        <w:rPr>
          <w:vanish w:val="0"/>
        </w:rPr>
      </w:pPr>
    </w:p>
    <w:p w14:paraId="32881CF3">
      <w:pPr>
        <w:pStyle w:val="76"/>
        <w:spacing w:after="120"/>
      </w:pPr>
      <w:r>
        <w:br w:type="textWrapping"/>
      </w:r>
      <w:r>
        <w:rPr>
          <w:rFonts w:hint="eastAsia"/>
        </w:rPr>
        <w:t>（规范性）</w:t>
      </w:r>
      <w:r>
        <w:br w:type="textWrapping"/>
      </w:r>
      <w:r>
        <w:rPr>
          <w:rFonts w:hint="eastAsia"/>
        </w:rPr>
        <w:t>团体标准评估表</w:t>
      </w:r>
    </w:p>
    <w:p w14:paraId="1BECD767">
      <w:pPr>
        <w:pStyle w:val="78"/>
        <w:spacing w:before="120" w:after="120"/>
      </w:pPr>
      <w:r>
        <w:rPr>
          <w:rFonts w:hint="eastAsia"/>
        </w:rPr>
        <w:t>团体标准评估表</w:t>
      </w:r>
    </w:p>
    <w:p w14:paraId="305BBF50">
      <w:pPr>
        <w:pStyle w:val="56"/>
        <w:ind w:firstLine="420"/>
      </w:pPr>
      <w:r>
        <w:rPr>
          <w:rFonts w:hint="eastAsia"/>
        </w:rPr>
        <w:t>应按照表A.1对拟转化的团体标准进行评估。</w:t>
      </w:r>
    </w:p>
    <w:p w14:paraId="3FAAE008">
      <w:pPr>
        <w:pStyle w:val="77"/>
        <w:spacing w:before="120" w:after="120"/>
        <w:jc w:val="both"/>
      </w:pPr>
      <w:r>
        <w:rPr>
          <w:rFonts w:hint="eastAsia"/>
        </w:rPr>
        <w:t>团体标准评估表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49"/>
        <w:gridCol w:w="860"/>
        <w:gridCol w:w="1326"/>
        <w:gridCol w:w="2591"/>
        <w:gridCol w:w="2530"/>
        <w:gridCol w:w="730"/>
        <w:gridCol w:w="748"/>
      </w:tblGrid>
      <w:tr w14:paraId="11ECE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9" w:type="dxa"/>
            <w:tcBorders>
              <w:top w:val="single" w:color="auto" w:sz="8" w:space="0"/>
              <w:bottom w:val="single" w:color="auto" w:sz="8" w:space="0"/>
            </w:tcBorders>
            <w:shd w:val="clear" w:color="auto" w:fill="auto"/>
            <w:vAlign w:val="center"/>
          </w:tcPr>
          <w:p w14:paraId="56761079">
            <w:pPr>
              <w:pStyle w:val="178"/>
            </w:pPr>
            <w:r>
              <w:rPr>
                <w:rFonts w:hint="eastAsia"/>
              </w:rPr>
              <w:t>序号</w:t>
            </w:r>
          </w:p>
        </w:tc>
        <w:tc>
          <w:tcPr>
            <w:tcW w:w="860" w:type="dxa"/>
            <w:tcBorders>
              <w:top w:val="single" w:color="auto" w:sz="8" w:space="0"/>
              <w:bottom w:val="single" w:color="auto" w:sz="8" w:space="0"/>
            </w:tcBorders>
            <w:shd w:val="clear" w:color="auto" w:fill="auto"/>
            <w:vAlign w:val="center"/>
          </w:tcPr>
          <w:p w14:paraId="5AB37B8B">
            <w:pPr>
              <w:pStyle w:val="178"/>
            </w:pPr>
            <w:r>
              <w:rPr>
                <w:rFonts w:hint="eastAsia"/>
              </w:rPr>
              <w:t>一级指标</w:t>
            </w:r>
          </w:p>
        </w:tc>
        <w:tc>
          <w:tcPr>
            <w:tcW w:w="1326" w:type="dxa"/>
            <w:tcBorders>
              <w:top w:val="single" w:color="auto" w:sz="8" w:space="0"/>
              <w:bottom w:val="single" w:color="auto" w:sz="8" w:space="0"/>
            </w:tcBorders>
            <w:shd w:val="clear" w:color="auto" w:fill="auto"/>
            <w:vAlign w:val="center"/>
          </w:tcPr>
          <w:p w14:paraId="6F038CE0">
            <w:pPr>
              <w:pStyle w:val="178"/>
            </w:pPr>
            <w:r>
              <w:rPr>
                <w:rFonts w:hint="eastAsia"/>
              </w:rPr>
              <w:t>二级指标</w:t>
            </w:r>
          </w:p>
        </w:tc>
        <w:tc>
          <w:tcPr>
            <w:tcW w:w="2591" w:type="dxa"/>
            <w:tcBorders>
              <w:top w:val="single" w:color="auto" w:sz="8" w:space="0"/>
              <w:bottom w:val="single" w:color="auto" w:sz="8" w:space="0"/>
            </w:tcBorders>
            <w:shd w:val="clear" w:color="auto" w:fill="auto"/>
            <w:vAlign w:val="center"/>
          </w:tcPr>
          <w:p w14:paraId="71705756">
            <w:pPr>
              <w:pStyle w:val="178"/>
            </w:pPr>
            <w:r>
              <w:rPr>
                <w:rFonts w:hint="eastAsia"/>
              </w:rPr>
              <w:t>指标说明</w:t>
            </w:r>
          </w:p>
        </w:tc>
        <w:tc>
          <w:tcPr>
            <w:tcW w:w="2530" w:type="dxa"/>
            <w:tcBorders>
              <w:top w:val="single" w:color="auto" w:sz="8" w:space="0"/>
              <w:bottom w:val="single" w:color="auto" w:sz="8" w:space="0"/>
            </w:tcBorders>
            <w:shd w:val="clear" w:color="auto" w:fill="auto"/>
            <w:vAlign w:val="center"/>
          </w:tcPr>
          <w:p w14:paraId="41264F06">
            <w:pPr>
              <w:pStyle w:val="178"/>
            </w:pPr>
            <w:r>
              <w:rPr>
                <w:rFonts w:hint="eastAsia"/>
              </w:rPr>
              <w:t>评估方式</w:t>
            </w:r>
          </w:p>
        </w:tc>
        <w:tc>
          <w:tcPr>
            <w:tcW w:w="730" w:type="dxa"/>
            <w:tcBorders>
              <w:top w:val="single" w:color="auto" w:sz="8" w:space="0"/>
              <w:bottom w:val="single" w:color="auto" w:sz="8" w:space="0"/>
            </w:tcBorders>
          </w:tcPr>
          <w:p w14:paraId="44B2279F">
            <w:pPr>
              <w:pStyle w:val="178"/>
            </w:pPr>
            <w:r>
              <w:rPr>
                <w:rFonts w:hint="eastAsia"/>
              </w:rPr>
              <w:t>符合</w:t>
            </w:r>
          </w:p>
        </w:tc>
        <w:tc>
          <w:tcPr>
            <w:tcW w:w="748" w:type="dxa"/>
            <w:tcBorders>
              <w:top w:val="single" w:color="auto" w:sz="8" w:space="0"/>
              <w:bottom w:val="single" w:color="auto" w:sz="8" w:space="0"/>
            </w:tcBorders>
            <w:shd w:val="clear" w:color="auto" w:fill="auto"/>
            <w:vAlign w:val="center"/>
          </w:tcPr>
          <w:p w14:paraId="38F253E9">
            <w:pPr>
              <w:pStyle w:val="178"/>
            </w:pPr>
            <w:r>
              <w:rPr>
                <w:rFonts w:hint="eastAsia"/>
              </w:rPr>
              <w:t>不符合</w:t>
            </w:r>
          </w:p>
        </w:tc>
      </w:tr>
      <w:tr w14:paraId="6BE13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restart"/>
            <w:shd w:val="clear" w:color="auto" w:fill="auto"/>
            <w:vAlign w:val="center"/>
          </w:tcPr>
          <w:p w14:paraId="2C6F918B">
            <w:pPr>
              <w:pStyle w:val="178"/>
            </w:pPr>
            <w:r>
              <w:t>1</w:t>
            </w:r>
          </w:p>
        </w:tc>
        <w:tc>
          <w:tcPr>
            <w:tcW w:w="860" w:type="dxa"/>
            <w:vMerge w:val="restart"/>
            <w:shd w:val="clear" w:color="auto" w:fill="auto"/>
            <w:vAlign w:val="center"/>
          </w:tcPr>
          <w:p w14:paraId="13D48B55">
            <w:pPr>
              <w:pStyle w:val="233"/>
              <w:rPr>
                <w:rFonts w:ascii="宋体" w:hAnsi="Times New Roman" w:cs="Times New Roman"/>
                <w:kern w:val="0"/>
                <w:sz w:val="18"/>
                <w:szCs w:val="20"/>
              </w:rPr>
            </w:pPr>
            <w:r>
              <w:rPr>
                <w:rFonts w:hint="eastAsia" w:ascii="宋体" w:hAnsi="Times New Roman" w:cs="Times New Roman"/>
                <w:kern w:val="0"/>
                <w:sz w:val="18"/>
                <w:szCs w:val="20"/>
              </w:rPr>
              <w:t>标准制定情况</w:t>
            </w:r>
          </w:p>
        </w:tc>
        <w:tc>
          <w:tcPr>
            <w:tcW w:w="1326" w:type="dxa"/>
            <w:shd w:val="clear" w:color="auto" w:fill="auto"/>
            <w:vAlign w:val="center"/>
          </w:tcPr>
          <w:p w14:paraId="236668C9">
            <w:pPr>
              <w:pStyle w:val="178"/>
              <w:jc w:val="left"/>
            </w:pPr>
            <w:r>
              <w:rPr>
                <w:rFonts w:hint="eastAsia"/>
              </w:rPr>
              <w:t>制定范围</w:t>
            </w:r>
          </w:p>
        </w:tc>
        <w:tc>
          <w:tcPr>
            <w:tcW w:w="2591" w:type="dxa"/>
            <w:shd w:val="clear" w:color="auto" w:fill="auto"/>
            <w:vAlign w:val="center"/>
          </w:tcPr>
          <w:p w14:paraId="5C87BF9A">
            <w:pPr>
              <w:pStyle w:val="178"/>
              <w:jc w:val="left"/>
            </w:pPr>
            <w:r>
              <w:rPr>
                <w:rFonts w:hint="eastAsia"/>
              </w:rPr>
              <w:t>制定范围合规，属于相关领域行业标准优先或亟需制定的范围，适用对象、规范性引用文件和术语定义等符合行业标准要求。</w:t>
            </w:r>
          </w:p>
        </w:tc>
        <w:tc>
          <w:tcPr>
            <w:tcW w:w="2530" w:type="dxa"/>
            <w:shd w:val="clear" w:color="auto" w:fill="auto"/>
            <w:vAlign w:val="center"/>
          </w:tcPr>
          <w:p w14:paraId="3ED9FD31">
            <w:pPr>
              <w:pStyle w:val="178"/>
              <w:jc w:val="left"/>
            </w:pPr>
            <w:r>
              <w:rPr>
                <w:rFonts w:hint="eastAsia"/>
              </w:rPr>
              <w:t>专业评估。相关行业标准专业委员会审核。</w:t>
            </w:r>
          </w:p>
        </w:tc>
        <w:tc>
          <w:tcPr>
            <w:tcW w:w="730" w:type="dxa"/>
          </w:tcPr>
          <w:p w14:paraId="73EAE8CA">
            <w:pPr>
              <w:pStyle w:val="178"/>
            </w:pPr>
          </w:p>
        </w:tc>
        <w:tc>
          <w:tcPr>
            <w:tcW w:w="748" w:type="dxa"/>
            <w:shd w:val="clear" w:color="auto" w:fill="auto"/>
            <w:vAlign w:val="center"/>
          </w:tcPr>
          <w:p w14:paraId="45EC30D4">
            <w:pPr>
              <w:pStyle w:val="178"/>
            </w:pPr>
          </w:p>
        </w:tc>
      </w:tr>
      <w:tr w14:paraId="3E321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5761910D">
            <w:pPr>
              <w:pStyle w:val="178"/>
            </w:pPr>
          </w:p>
        </w:tc>
        <w:tc>
          <w:tcPr>
            <w:tcW w:w="860" w:type="dxa"/>
            <w:vMerge w:val="continue"/>
            <w:shd w:val="clear" w:color="auto" w:fill="auto"/>
            <w:vAlign w:val="center"/>
          </w:tcPr>
          <w:p w14:paraId="77BC085F">
            <w:pPr>
              <w:pStyle w:val="233"/>
              <w:rPr>
                <w:rFonts w:ascii="宋体" w:hAnsi="Times New Roman" w:cs="Times New Roman"/>
                <w:kern w:val="0"/>
                <w:sz w:val="18"/>
                <w:szCs w:val="20"/>
              </w:rPr>
            </w:pPr>
          </w:p>
        </w:tc>
        <w:tc>
          <w:tcPr>
            <w:tcW w:w="1326" w:type="dxa"/>
            <w:shd w:val="clear" w:color="auto" w:fill="auto"/>
            <w:vAlign w:val="center"/>
          </w:tcPr>
          <w:p w14:paraId="631D5D30">
            <w:pPr>
              <w:pStyle w:val="178"/>
              <w:jc w:val="left"/>
            </w:pPr>
            <w:r>
              <w:rPr>
                <w:rFonts w:hint="eastAsia"/>
              </w:rPr>
              <w:t>制定程序</w:t>
            </w:r>
          </w:p>
        </w:tc>
        <w:tc>
          <w:tcPr>
            <w:tcW w:w="2591" w:type="dxa"/>
            <w:shd w:val="clear" w:color="auto" w:fill="auto"/>
            <w:vAlign w:val="center"/>
          </w:tcPr>
          <w:p w14:paraId="12F28F9F">
            <w:pPr>
              <w:pStyle w:val="178"/>
              <w:jc w:val="left"/>
            </w:pPr>
            <w:r>
              <w:rPr>
                <w:rFonts w:hint="eastAsia"/>
              </w:rPr>
              <w:t>制定程序规范，制定过程公开透明并广泛征求意见，征求意见情况可溯源。</w:t>
            </w:r>
          </w:p>
        </w:tc>
        <w:tc>
          <w:tcPr>
            <w:tcW w:w="2530" w:type="dxa"/>
            <w:shd w:val="clear" w:color="auto" w:fill="auto"/>
            <w:vAlign w:val="center"/>
          </w:tcPr>
          <w:p w14:paraId="5DD9DAAA">
            <w:pPr>
              <w:pStyle w:val="178"/>
              <w:jc w:val="left"/>
            </w:pPr>
            <w:r>
              <w:rPr>
                <w:rFonts w:hint="eastAsia"/>
              </w:rPr>
              <w:t>专业评估。制定程序符合《团体标准管理规定》（国标委联〔2019〕1号）。标准广泛征求相关方意见，包括生产者、经营者、使用者、消费者、公共利益方等，并经协商一致，征求意见时间不少于30天。</w:t>
            </w:r>
          </w:p>
        </w:tc>
        <w:tc>
          <w:tcPr>
            <w:tcW w:w="730" w:type="dxa"/>
          </w:tcPr>
          <w:p w14:paraId="0AE283F9">
            <w:pPr>
              <w:pStyle w:val="178"/>
            </w:pPr>
          </w:p>
        </w:tc>
        <w:tc>
          <w:tcPr>
            <w:tcW w:w="748" w:type="dxa"/>
            <w:shd w:val="clear" w:color="auto" w:fill="auto"/>
            <w:vAlign w:val="center"/>
          </w:tcPr>
          <w:p w14:paraId="276976C4">
            <w:pPr>
              <w:pStyle w:val="178"/>
            </w:pPr>
          </w:p>
        </w:tc>
      </w:tr>
      <w:tr w14:paraId="31404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2DD836F1">
            <w:pPr>
              <w:pStyle w:val="178"/>
            </w:pPr>
          </w:p>
        </w:tc>
        <w:tc>
          <w:tcPr>
            <w:tcW w:w="860" w:type="dxa"/>
            <w:vMerge w:val="continue"/>
            <w:shd w:val="clear" w:color="auto" w:fill="auto"/>
            <w:vAlign w:val="center"/>
          </w:tcPr>
          <w:p w14:paraId="4B3CB038">
            <w:pPr>
              <w:pStyle w:val="233"/>
              <w:rPr>
                <w:rFonts w:ascii="宋体" w:hAnsi="Times New Roman" w:cs="Times New Roman"/>
                <w:kern w:val="0"/>
                <w:sz w:val="18"/>
                <w:szCs w:val="20"/>
              </w:rPr>
            </w:pPr>
          </w:p>
        </w:tc>
        <w:tc>
          <w:tcPr>
            <w:tcW w:w="1326" w:type="dxa"/>
            <w:shd w:val="clear" w:color="auto" w:fill="auto"/>
            <w:vAlign w:val="center"/>
          </w:tcPr>
          <w:p w14:paraId="5DD5764E">
            <w:pPr>
              <w:pStyle w:val="178"/>
              <w:jc w:val="left"/>
            </w:pPr>
            <w:r>
              <w:rPr>
                <w:rFonts w:hint="eastAsia"/>
              </w:rPr>
              <w:t>标准文件</w:t>
            </w:r>
          </w:p>
        </w:tc>
        <w:tc>
          <w:tcPr>
            <w:tcW w:w="2591" w:type="dxa"/>
            <w:shd w:val="clear" w:color="auto" w:fill="auto"/>
            <w:vAlign w:val="center"/>
          </w:tcPr>
          <w:p w14:paraId="256D0743">
            <w:pPr>
              <w:pStyle w:val="178"/>
              <w:jc w:val="left"/>
            </w:pPr>
            <w:r>
              <w:rPr>
                <w:rFonts w:hint="eastAsia"/>
              </w:rPr>
              <w:t>标准文本结构合理、内容清晰，表述符合一致性、协调性、易用性原则要求，标准解读、征求意见汇总处理表和编制说明完整、规范。</w:t>
            </w:r>
          </w:p>
        </w:tc>
        <w:tc>
          <w:tcPr>
            <w:tcW w:w="2530" w:type="dxa"/>
            <w:shd w:val="clear" w:color="auto" w:fill="auto"/>
            <w:vAlign w:val="center"/>
          </w:tcPr>
          <w:p w14:paraId="72EFC7F4">
            <w:pPr>
              <w:pStyle w:val="178"/>
              <w:jc w:val="left"/>
            </w:pPr>
            <w:r>
              <w:rPr>
                <w:rFonts w:hint="eastAsia"/>
              </w:rPr>
              <w:t>专业评估。符合 GB/T 1.1 要求。查验标准解读、征求意见汇总处理表和编制说明。</w:t>
            </w:r>
          </w:p>
        </w:tc>
        <w:tc>
          <w:tcPr>
            <w:tcW w:w="730" w:type="dxa"/>
          </w:tcPr>
          <w:p w14:paraId="51434099">
            <w:pPr>
              <w:pStyle w:val="178"/>
            </w:pPr>
          </w:p>
        </w:tc>
        <w:tc>
          <w:tcPr>
            <w:tcW w:w="748" w:type="dxa"/>
            <w:shd w:val="clear" w:color="auto" w:fill="auto"/>
            <w:vAlign w:val="center"/>
          </w:tcPr>
          <w:p w14:paraId="7984B5CF">
            <w:pPr>
              <w:pStyle w:val="178"/>
            </w:pPr>
          </w:p>
        </w:tc>
      </w:tr>
      <w:tr w14:paraId="48A3C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1DDD9A75">
            <w:pPr>
              <w:pStyle w:val="178"/>
            </w:pPr>
          </w:p>
        </w:tc>
        <w:tc>
          <w:tcPr>
            <w:tcW w:w="860" w:type="dxa"/>
            <w:vMerge w:val="continue"/>
            <w:shd w:val="clear" w:color="auto" w:fill="auto"/>
            <w:vAlign w:val="center"/>
          </w:tcPr>
          <w:p w14:paraId="05BFABFA">
            <w:pPr>
              <w:pStyle w:val="233"/>
              <w:rPr>
                <w:rFonts w:ascii="宋体" w:hAnsi="Times New Roman" w:cs="Times New Roman"/>
                <w:kern w:val="0"/>
                <w:sz w:val="18"/>
                <w:szCs w:val="20"/>
              </w:rPr>
            </w:pPr>
          </w:p>
        </w:tc>
        <w:tc>
          <w:tcPr>
            <w:tcW w:w="1326" w:type="dxa"/>
            <w:shd w:val="clear" w:color="auto" w:fill="auto"/>
            <w:vAlign w:val="center"/>
          </w:tcPr>
          <w:p w14:paraId="32D29009">
            <w:pPr>
              <w:pStyle w:val="178"/>
              <w:jc w:val="left"/>
            </w:pPr>
            <w:r>
              <w:rPr>
                <w:rFonts w:hint="eastAsia"/>
              </w:rPr>
              <w:t>合法性</w:t>
            </w:r>
          </w:p>
        </w:tc>
        <w:tc>
          <w:tcPr>
            <w:tcW w:w="2591" w:type="dxa"/>
            <w:shd w:val="clear" w:color="auto" w:fill="auto"/>
            <w:vAlign w:val="center"/>
          </w:tcPr>
          <w:p w14:paraId="037784B8">
            <w:pPr>
              <w:pStyle w:val="178"/>
              <w:jc w:val="left"/>
            </w:pPr>
            <w:r>
              <w:rPr>
                <w:rFonts w:hint="eastAsia"/>
              </w:rPr>
              <w:t>符合我国法律法规要求，知识产权清晰、无纠纷，不得设置排除或限制市场竞争的条款。</w:t>
            </w:r>
          </w:p>
        </w:tc>
        <w:tc>
          <w:tcPr>
            <w:tcW w:w="2530" w:type="dxa"/>
            <w:shd w:val="clear" w:color="auto" w:fill="auto"/>
            <w:vAlign w:val="center"/>
          </w:tcPr>
          <w:p w14:paraId="4C715822">
            <w:pPr>
              <w:pStyle w:val="178"/>
              <w:jc w:val="left"/>
            </w:pPr>
            <w:r>
              <w:rPr>
                <w:rFonts w:hint="eastAsia"/>
              </w:rPr>
              <w:t>专业评估。若涉及知识产权授权的，查验授权使用证明材料。</w:t>
            </w:r>
          </w:p>
        </w:tc>
        <w:tc>
          <w:tcPr>
            <w:tcW w:w="730" w:type="dxa"/>
          </w:tcPr>
          <w:p w14:paraId="7C8A2DAD">
            <w:pPr>
              <w:pStyle w:val="178"/>
            </w:pPr>
          </w:p>
        </w:tc>
        <w:tc>
          <w:tcPr>
            <w:tcW w:w="748" w:type="dxa"/>
            <w:shd w:val="clear" w:color="auto" w:fill="auto"/>
            <w:vAlign w:val="center"/>
          </w:tcPr>
          <w:p w14:paraId="0FAF24B5">
            <w:pPr>
              <w:pStyle w:val="178"/>
            </w:pPr>
          </w:p>
        </w:tc>
      </w:tr>
      <w:tr w14:paraId="592C6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restart"/>
            <w:shd w:val="clear" w:color="auto" w:fill="auto"/>
            <w:vAlign w:val="center"/>
          </w:tcPr>
          <w:p w14:paraId="583C8E3C">
            <w:pPr>
              <w:pStyle w:val="178"/>
            </w:pPr>
            <w:r>
              <w:t>2</w:t>
            </w:r>
          </w:p>
        </w:tc>
        <w:tc>
          <w:tcPr>
            <w:tcW w:w="860" w:type="dxa"/>
            <w:vMerge w:val="restart"/>
            <w:shd w:val="clear" w:color="auto" w:fill="auto"/>
            <w:vAlign w:val="center"/>
          </w:tcPr>
          <w:p w14:paraId="33E910E0">
            <w:pPr>
              <w:pStyle w:val="233"/>
              <w:rPr>
                <w:rFonts w:ascii="宋体" w:hAnsi="Times New Roman" w:cs="Times New Roman"/>
                <w:kern w:val="0"/>
                <w:sz w:val="18"/>
                <w:szCs w:val="20"/>
              </w:rPr>
            </w:pPr>
            <w:r>
              <w:rPr>
                <w:rFonts w:hint="eastAsia" w:ascii="宋体" w:hAnsi="Times New Roman" w:cs="Times New Roman"/>
                <w:kern w:val="0"/>
                <w:sz w:val="18"/>
                <w:szCs w:val="20"/>
              </w:rPr>
              <w:t>标准起草发布机构</w:t>
            </w:r>
          </w:p>
          <w:p w14:paraId="51611D06">
            <w:pPr>
              <w:pStyle w:val="233"/>
              <w:rPr>
                <w:rFonts w:ascii="宋体" w:hAnsi="Times New Roman" w:cs="Times New Roman"/>
                <w:kern w:val="0"/>
                <w:sz w:val="18"/>
                <w:szCs w:val="20"/>
              </w:rPr>
            </w:pPr>
          </w:p>
        </w:tc>
        <w:tc>
          <w:tcPr>
            <w:tcW w:w="1326" w:type="dxa"/>
            <w:shd w:val="clear" w:color="auto" w:fill="auto"/>
            <w:vAlign w:val="center"/>
          </w:tcPr>
          <w:p w14:paraId="1ED6B037">
            <w:pPr>
              <w:pStyle w:val="178"/>
              <w:jc w:val="left"/>
            </w:pPr>
            <w:r>
              <w:rPr>
                <w:rFonts w:hint="eastAsia"/>
              </w:rPr>
              <w:t>发布流程和方式</w:t>
            </w:r>
          </w:p>
        </w:tc>
        <w:tc>
          <w:tcPr>
            <w:tcW w:w="2591" w:type="dxa"/>
            <w:shd w:val="clear" w:color="auto" w:fill="auto"/>
            <w:vAlign w:val="center"/>
          </w:tcPr>
          <w:p w14:paraId="1F4E192D">
            <w:pPr>
              <w:pStyle w:val="178"/>
              <w:jc w:val="left"/>
            </w:pPr>
            <w:r>
              <w:rPr>
                <w:rFonts w:hint="eastAsia"/>
              </w:rPr>
              <w:t>发布流程和方式合规，经发布机构公告发布，已在全国标准信息公共服务平台登记。</w:t>
            </w:r>
          </w:p>
        </w:tc>
        <w:tc>
          <w:tcPr>
            <w:tcW w:w="2530" w:type="dxa"/>
            <w:shd w:val="clear" w:color="auto" w:fill="auto"/>
            <w:vAlign w:val="center"/>
          </w:tcPr>
          <w:p w14:paraId="79A36EA1">
            <w:pPr>
              <w:pStyle w:val="178"/>
              <w:jc w:val="left"/>
            </w:pPr>
            <w:r>
              <w:rPr>
                <w:rFonts w:hint="eastAsia"/>
              </w:rPr>
              <w:t>专业评估。</w:t>
            </w:r>
          </w:p>
        </w:tc>
        <w:tc>
          <w:tcPr>
            <w:tcW w:w="730" w:type="dxa"/>
          </w:tcPr>
          <w:p w14:paraId="5ED6B85D">
            <w:pPr>
              <w:pStyle w:val="178"/>
            </w:pPr>
          </w:p>
        </w:tc>
        <w:tc>
          <w:tcPr>
            <w:tcW w:w="748" w:type="dxa"/>
            <w:shd w:val="clear" w:color="auto" w:fill="auto"/>
            <w:vAlign w:val="center"/>
          </w:tcPr>
          <w:p w14:paraId="44597E55">
            <w:pPr>
              <w:pStyle w:val="178"/>
            </w:pPr>
          </w:p>
        </w:tc>
      </w:tr>
      <w:tr w14:paraId="32164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611D00E1">
            <w:pPr>
              <w:pStyle w:val="178"/>
            </w:pPr>
          </w:p>
        </w:tc>
        <w:tc>
          <w:tcPr>
            <w:tcW w:w="860" w:type="dxa"/>
            <w:vMerge w:val="continue"/>
            <w:shd w:val="clear" w:color="auto" w:fill="auto"/>
            <w:vAlign w:val="center"/>
          </w:tcPr>
          <w:p w14:paraId="796CD664">
            <w:pPr>
              <w:pStyle w:val="178"/>
            </w:pPr>
          </w:p>
        </w:tc>
        <w:tc>
          <w:tcPr>
            <w:tcW w:w="1326" w:type="dxa"/>
            <w:shd w:val="clear" w:color="auto" w:fill="auto"/>
            <w:vAlign w:val="center"/>
          </w:tcPr>
          <w:p w14:paraId="4A30768F">
            <w:pPr>
              <w:pStyle w:val="178"/>
              <w:jc w:val="left"/>
            </w:pPr>
            <w:r>
              <w:rPr>
                <w:rFonts w:hint="eastAsia"/>
              </w:rPr>
              <w:t>发布机构资质</w:t>
            </w:r>
          </w:p>
        </w:tc>
        <w:tc>
          <w:tcPr>
            <w:tcW w:w="2591" w:type="dxa"/>
            <w:shd w:val="clear" w:color="auto" w:fill="auto"/>
            <w:vAlign w:val="center"/>
          </w:tcPr>
          <w:p w14:paraId="08AC7868">
            <w:pPr>
              <w:pStyle w:val="178"/>
              <w:jc w:val="left"/>
            </w:pPr>
            <w:r>
              <w:rPr>
                <w:rFonts w:hint="eastAsia"/>
              </w:rPr>
              <w:t>发布机构最近一次年检合格且无不良信用记录，或提供在有效期内的团体标准化良好行为评价结论、团体标准组织综合绩效评价结果等证明材料。</w:t>
            </w:r>
          </w:p>
        </w:tc>
        <w:tc>
          <w:tcPr>
            <w:tcW w:w="2530" w:type="dxa"/>
            <w:shd w:val="clear" w:color="auto" w:fill="auto"/>
            <w:vAlign w:val="center"/>
          </w:tcPr>
          <w:p w14:paraId="499525FA">
            <w:pPr>
              <w:pStyle w:val="178"/>
              <w:jc w:val="left"/>
            </w:pPr>
            <w:r>
              <w:rPr>
                <w:rFonts w:hint="eastAsia"/>
              </w:rPr>
              <w:t>专业评估。查验信用记录、年检合格证明材料、团体标准化良好行为评价结论、团体标准组织综合绩效评价结果等证明材料。</w:t>
            </w:r>
          </w:p>
        </w:tc>
        <w:tc>
          <w:tcPr>
            <w:tcW w:w="730" w:type="dxa"/>
          </w:tcPr>
          <w:p w14:paraId="22E5405B">
            <w:pPr>
              <w:pStyle w:val="178"/>
            </w:pPr>
          </w:p>
        </w:tc>
        <w:tc>
          <w:tcPr>
            <w:tcW w:w="748" w:type="dxa"/>
            <w:shd w:val="clear" w:color="auto" w:fill="auto"/>
            <w:vAlign w:val="center"/>
          </w:tcPr>
          <w:p w14:paraId="0B702C75">
            <w:pPr>
              <w:pStyle w:val="178"/>
            </w:pPr>
          </w:p>
        </w:tc>
      </w:tr>
      <w:tr w14:paraId="1814D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7C4CA9CD">
            <w:pPr>
              <w:pStyle w:val="178"/>
            </w:pPr>
          </w:p>
        </w:tc>
        <w:tc>
          <w:tcPr>
            <w:tcW w:w="860" w:type="dxa"/>
            <w:vMerge w:val="continue"/>
            <w:shd w:val="clear" w:color="auto" w:fill="auto"/>
            <w:vAlign w:val="center"/>
          </w:tcPr>
          <w:p w14:paraId="000F8402">
            <w:pPr>
              <w:pStyle w:val="178"/>
            </w:pPr>
          </w:p>
        </w:tc>
        <w:tc>
          <w:tcPr>
            <w:tcW w:w="1326" w:type="dxa"/>
            <w:shd w:val="clear" w:color="auto" w:fill="auto"/>
            <w:vAlign w:val="center"/>
          </w:tcPr>
          <w:p w14:paraId="081D013D">
            <w:pPr>
              <w:pStyle w:val="178"/>
              <w:jc w:val="left"/>
            </w:pPr>
            <w:r>
              <w:rPr>
                <w:rFonts w:hint="eastAsia"/>
              </w:rPr>
              <w:t>第一起草单位</w:t>
            </w:r>
          </w:p>
        </w:tc>
        <w:tc>
          <w:tcPr>
            <w:tcW w:w="2591" w:type="dxa"/>
            <w:shd w:val="clear" w:color="auto" w:fill="auto"/>
            <w:vAlign w:val="center"/>
          </w:tcPr>
          <w:p w14:paraId="1AE6488A">
            <w:pPr>
              <w:pStyle w:val="178"/>
              <w:jc w:val="left"/>
            </w:pPr>
            <w:r>
              <w:rPr>
                <w:rFonts w:hint="eastAsia"/>
              </w:rPr>
              <w:t>具有较高的行业影响力和技术实力，申请标准转化之日前的3年内无严重违法失信记录。</w:t>
            </w:r>
          </w:p>
        </w:tc>
        <w:tc>
          <w:tcPr>
            <w:tcW w:w="2530" w:type="dxa"/>
            <w:shd w:val="clear" w:color="auto" w:fill="auto"/>
            <w:vAlign w:val="center"/>
          </w:tcPr>
          <w:p w14:paraId="38A59EFB">
            <w:pPr>
              <w:pStyle w:val="178"/>
              <w:jc w:val="left"/>
            </w:pPr>
            <w:r>
              <w:rPr>
                <w:rFonts w:hint="eastAsia"/>
              </w:rPr>
              <w:t>专业评估。查验标准编制说明、第一起草单位信用记录证明材料。</w:t>
            </w:r>
          </w:p>
        </w:tc>
        <w:tc>
          <w:tcPr>
            <w:tcW w:w="730" w:type="dxa"/>
          </w:tcPr>
          <w:p w14:paraId="653AD1CD">
            <w:pPr>
              <w:pStyle w:val="178"/>
            </w:pPr>
          </w:p>
        </w:tc>
        <w:tc>
          <w:tcPr>
            <w:tcW w:w="748" w:type="dxa"/>
            <w:shd w:val="clear" w:color="auto" w:fill="auto"/>
            <w:vAlign w:val="center"/>
          </w:tcPr>
          <w:p w14:paraId="4A006476">
            <w:pPr>
              <w:pStyle w:val="178"/>
            </w:pPr>
          </w:p>
        </w:tc>
      </w:tr>
      <w:tr w14:paraId="67C6E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6C4DB5A7">
            <w:pPr>
              <w:pStyle w:val="178"/>
            </w:pPr>
          </w:p>
        </w:tc>
        <w:tc>
          <w:tcPr>
            <w:tcW w:w="860" w:type="dxa"/>
            <w:vMerge w:val="continue"/>
            <w:shd w:val="clear" w:color="auto" w:fill="auto"/>
            <w:vAlign w:val="center"/>
          </w:tcPr>
          <w:p w14:paraId="5541680B">
            <w:pPr>
              <w:pStyle w:val="178"/>
            </w:pPr>
          </w:p>
        </w:tc>
        <w:tc>
          <w:tcPr>
            <w:tcW w:w="1326" w:type="dxa"/>
            <w:shd w:val="clear" w:color="auto" w:fill="auto"/>
            <w:vAlign w:val="center"/>
          </w:tcPr>
          <w:p w14:paraId="2F4A1AD3">
            <w:pPr>
              <w:pStyle w:val="178"/>
              <w:jc w:val="left"/>
            </w:pPr>
            <w:r>
              <w:rPr>
                <w:rFonts w:hint="eastAsia"/>
              </w:rPr>
              <w:t>第一起草人</w:t>
            </w:r>
          </w:p>
        </w:tc>
        <w:tc>
          <w:tcPr>
            <w:tcW w:w="2591" w:type="dxa"/>
            <w:shd w:val="clear" w:color="auto" w:fill="auto"/>
            <w:vAlign w:val="center"/>
          </w:tcPr>
          <w:p w14:paraId="5678B6D3">
            <w:pPr>
              <w:pStyle w:val="178"/>
              <w:jc w:val="left"/>
            </w:pPr>
            <w:r>
              <w:rPr>
                <w:rFonts w:hint="eastAsia"/>
              </w:rPr>
              <w:t>在相关领域具有较高学术地位及影响。</w:t>
            </w:r>
          </w:p>
        </w:tc>
        <w:tc>
          <w:tcPr>
            <w:tcW w:w="2530" w:type="dxa"/>
            <w:shd w:val="clear" w:color="auto" w:fill="auto"/>
            <w:vAlign w:val="center"/>
          </w:tcPr>
          <w:p w14:paraId="1A3FE3FE">
            <w:pPr>
              <w:pStyle w:val="178"/>
              <w:jc w:val="left"/>
            </w:pPr>
            <w:r>
              <w:rPr>
                <w:rFonts w:hint="eastAsia"/>
              </w:rPr>
              <w:t>专业评估。查验标准编制说明。</w:t>
            </w:r>
          </w:p>
        </w:tc>
        <w:tc>
          <w:tcPr>
            <w:tcW w:w="730" w:type="dxa"/>
          </w:tcPr>
          <w:p w14:paraId="39C39A62">
            <w:pPr>
              <w:pStyle w:val="178"/>
            </w:pPr>
          </w:p>
        </w:tc>
        <w:tc>
          <w:tcPr>
            <w:tcW w:w="748" w:type="dxa"/>
            <w:shd w:val="clear" w:color="auto" w:fill="auto"/>
            <w:vAlign w:val="center"/>
          </w:tcPr>
          <w:p w14:paraId="06FC2321">
            <w:pPr>
              <w:pStyle w:val="178"/>
            </w:pPr>
          </w:p>
        </w:tc>
      </w:tr>
      <w:tr w14:paraId="47458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restart"/>
            <w:shd w:val="clear" w:color="auto" w:fill="auto"/>
            <w:vAlign w:val="center"/>
          </w:tcPr>
          <w:p w14:paraId="29322D76">
            <w:pPr>
              <w:pStyle w:val="178"/>
            </w:pPr>
            <w:r>
              <w:t>3</w:t>
            </w:r>
          </w:p>
        </w:tc>
        <w:tc>
          <w:tcPr>
            <w:tcW w:w="860" w:type="dxa"/>
            <w:vMerge w:val="restart"/>
            <w:shd w:val="clear" w:color="auto" w:fill="auto"/>
            <w:vAlign w:val="center"/>
          </w:tcPr>
          <w:p w14:paraId="3826CAFD">
            <w:pPr>
              <w:pStyle w:val="233"/>
              <w:rPr>
                <w:rFonts w:ascii="宋体" w:hAnsi="Times New Roman" w:cs="Times New Roman"/>
                <w:kern w:val="0"/>
                <w:sz w:val="18"/>
                <w:szCs w:val="20"/>
              </w:rPr>
            </w:pPr>
            <w:r>
              <w:rPr>
                <w:rFonts w:hint="eastAsia" w:ascii="宋体" w:hAnsi="Times New Roman" w:cs="Times New Roman"/>
                <w:kern w:val="0"/>
                <w:sz w:val="18"/>
                <w:szCs w:val="20"/>
              </w:rPr>
              <w:t>标准技术指标</w:t>
            </w:r>
          </w:p>
        </w:tc>
        <w:tc>
          <w:tcPr>
            <w:tcW w:w="1326" w:type="dxa"/>
            <w:shd w:val="clear" w:color="auto" w:fill="auto"/>
            <w:vAlign w:val="center"/>
          </w:tcPr>
          <w:p w14:paraId="0707147F">
            <w:pPr>
              <w:pStyle w:val="178"/>
              <w:jc w:val="left"/>
            </w:pPr>
            <w:r>
              <w:rPr>
                <w:rFonts w:hint="eastAsia"/>
              </w:rPr>
              <w:t>科学性</w:t>
            </w:r>
          </w:p>
        </w:tc>
        <w:tc>
          <w:tcPr>
            <w:tcW w:w="2591" w:type="dxa"/>
            <w:shd w:val="clear" w:color="auto" w:fill="auto"/>
            <w:vAlign w:val="center"/>
          </w:tcPr>
          <w:p w14:paraId="5AEB8373">
            <w:pPr>
              <w:pStyle w:val="178"/>
              <w:jc w:val="left"/>
            </w:pPr>
            <w:r>
              <w:rPr>
                <w:rFonts w:hint="eastAsia"/>
              </w:rPr>
              <w:t>技术指标经过科学论证，相关科学研究结果可重复、可验证。</w:t>
            </w:r>
          </w:p>
        </w:tc>
        <w:tc>
          <w:tcPr>
            <w:tcW w:w="2530" w:type="dxa"/>
            <w:shd w:val="clear" w:color="auto" w:fill="auto"/>
            <w:vAlign w:val="center"/>
          </w:tcPr>
          <w:p w14:paraId="4E623EC2">
            <w:pPr>
              <w:pStyle w:val="178"/>
              <w:jc w:val="left"/>
            </w:pPr>
            <w:r>
              <w:rPr>
                <w:rFonts w:hint="eastAsia"/>
              </w:rPr>
              <w:t>专业评估。查验标编制说明及调研、观察、实验、试验、文献研究等支撑材料。</w:t>
            </w:r>
          </w:p>
        </w:tc>
        <w:tc>
          <w:tcPr>
            <w:tcW w:w="730" w:type="dxa"/>
          </w:tcPr>
          <w:p w14:paraId="62D94BBC">
            <w:pPr>
              <w:pStyle w:val="178"/>
            </w:pPr>
          </w:p>
        </w:tc>
        <w:tc>
          <w:tcPr>
            <w:tcW w:w="748" w:type="dxa"/>
            <w:shd w:val="clear" w:color="auto" w:fill="auto"/>
            <w:vAlign w:val="center"/>
          </w:tcPr>
          <w:p w14:paraId="3D8E5E05">
            <w:pPr>
              <w:pStyle w:val="178"/>
            </w:pPr>
          </w:p>
        </w:tc>
      </w:tr>
      <w:tr w14:paraId="1475B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373DFCF6">
            <w:pPr>
              <w:pStyle w:val="178"/>
            </w:pPr>
          </w:p>
        </w:tc>
        <w:tc>
          <w:tcPr>
            <w:tcW w:w="860" w:type="dxa"/>
            <w:vMerge w:val="continue"/>
            <w:shd w:val="clear" w:color="auto" w:fill="auto"/>
            <w:vAlign w:val="center"/>
          </w:tcPr>
          <w:p w14:paraId="4DCBD3B5">
            <w:pPr>
              <w:pStyle w:val="178"/>
            </w:pPr>
          </w:p>
        </w:tc>
        <w:tc>
          <w:tcPr>
            <w:tcW w:w="1326" w:type="dxa"/>
            <w:shd w:val="clear" w:color="auto" w:fill="auto"/>
            <w:vAlign w:val="center"/>
          </w:tcPr>
          <w:p w14:paraId="426FEDE0">
            <w:pPr>
              <w:pStyle w:val="178"/>
              <w:jc w:val="left"/>
            </w:pPr>
            <w:r>
              <w:rPr>
                <w:rFonts w:hint="eastAsia"/>
              </w:rPr>
              <w:t>协调性</w:t>
            </w:r>
          </w:p>
        </w:tc>
        <w:tc>
          <w:tcPr>
            <w:tcW w:w="2591" w:type="dxa"/>
            <w:shd w:val="clear" w:color="auto" w:fill="auto"/>
            <w:vAlign w:val="center"/>
          </w:tcPr>
          <w:p w14:paraId="58F1FEDB">
            <w:pPr>
              <w:pStyle w:val="178"/>
              <w:jc w:val="left"/>
            </w:pPr>
            <w:r>
              <w:rPr>
                <w:rFonts w:hint="eastAsia"/>
              </w:rPr>
              <w:t>与现行有效的国家标准、行业标准协调一致，无冲突、不重复。</w:t>
            </w:r>
          </w:p>
        </w:tc>
        <w:tc>
          <w:tcPr>
            <w:tcW w:w="2530" w:type="dxa"/>
            <w:shd w:val="clear" w:color="auto" w:fill="auto"/>
            <w:vAlign w:val="center"/>
          </w:tcPr>
          <w:p w14:paraId="5435A7D0">
            <w:pPr>
              <w:pStyle w:val="178"/>
              <w:jc w:val="left"/>
            </w:pPr>
            <w:r>
              <w:rPr>
                <w:rFonts w:hint="eastAsia"/>
              </w:rPr>
              <w:t>专业评估。查验标准编制说明。</w:t>
            </w:r>
          </w:p>
        </w:tc>
        <w:tc>
          <w:tcPr>
            <w:tcW w:w="730" w:type="dxa"/>
          </w:tcPr>
          <w:p w14:paraId="21B4595E">
            <w:pPr>
              <w:pStyle w:val="178"/>
            </w:pPr>
          </w:p>
        </w:tc>
        <w:tc>
          <w:tcPr>
            <w:tcW w:w="748" w:type="dxa"/>
            <w:shd w:val="clear" w:color="auto" w:fill="auto"/>
            <w:vAlign w:val="center"/>
          </w:tcPr>
          <w:p w14:paraId="327ECB81">
            <w:pPr>
              <w:pStyle w:val="178"/>
            </w:pPr>
          </w:p>
        </w:tc>
      </w:tr>
      <w:tr w14:paraId="4B0CE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2933FFFE">
            <w:pPr>
              <w:pStyle w:val="178"/>
            </w:pPr>
          </w:p>
        </w:tc>
        <w:tc>
          <w:tcPr>
            <w:tcW w:w="860" w:type="dxa"/>
            <w:vMerge w:val="continue"/>
            <w:shd w:val="clear" w:color="auto" w:fill="auto"/>
            <w:vAlign w:val="center"/>
          </w:tcPr>
          <w:p w14:paraId="3D965093">
            <w:pPr>
              <w:pStyle w:val="178"/>
            </w:pPr>
          </w:p>
        </w:tc>
        <w:tc>
          <w:tcPr>
            <w:tcW w:w="1326" w:type="dxa"/>
            <w:shd w:val="clear" w:color="auto" w:fill="auto"/>
            <w:vAlign w:val="center"/>
          </w:tcPr>
          <w:p w14:paraId="1C0F11B6">
            <w:pPr>
              <w:pStyle w:val="178"/>
              <w:jc w:val="left"/>
            </w:pPr>
            <w:r>
              <w:rPr>
                <w:rFonts w:hint="eastAsia"/>
              </w:rPr>
              <w:t>先进性</w:t>
            </w:r>
          </w:p>
        </w:tc>
        <w:tc>
          <w:tcPr>
            <w:tcW w:w="2591" w:type="dxa"/>
            <w:shd w:val="clear" w:color="auto" w:fill="auto"/>
            <w:vAlign w:val="center"/>
          </w:tcPr>
          <w:p w14:paraId="18EE6EC3">
            <w:pPr>
              <w:pStyle w:val="178"/>
              <w:jc w:val="left"/>
            </w:pPr>
            <w:r>
              <w:rPr>
                <w:rFonts w:hint="eastAsia"/>
              </w:rPr>
              <w:t>吸纳先进技术、成果作为技术指标，或填补国际/国内空白；技术指标不得低于我国强制性标准的相关技术要求。</w:t>
            </w:r>
          </w:p>
        </w:tc>
        <w:tc>
          <w:tcPr>
            <w:tcW w:w="2530" w:type="dxa"/>
            <w:shd w:val="clear" w:color="auto" w:fill="auto"/>
            <w:vAlign w:val="center"/>
          </w:tcPr>
          <w:p w14:paraId="4DFF11A6">
            <w:pPr>
              <w:pStyle w:val="178"/>
              <w:jc w:val="left"/>
            </w:pPr>
            <w:r>
              <w:rPr>
                <w:rFonts w:hint="eastAsia"/>
              </w:rPr>
              <w:t>专业评估，查验技术、成果证明文件。</w:t>
            </w:r>
          </w:p>
        </w:tc>
        <w:tc>
          <w:tcPr>
            <w:tcW w:w="730" w:type="dxa"/>
          </w:tcPr>
          <w:p w14:paraId="4AF3FB7B">
            <w:pPr>
              <w:pStyle w:val="178"/>
            </w:pPr>
          </w:p>
        </w:tc>
        <w:tc>
          <w:tcPr>
            <w:tcW w:w="748" w:type="dxa"/>
            <w:shd w:val="clear" w:color="auto" w:fill="auto"/>
            <w:vAlign w:val="center"/>
          </w:tcPr>
          <w:p w14:paraId="40CD113E">
            <w:pPr>
              <w:pStyle w:val="178"/>
            </w:pPr>
          </w:p>
        </w:tc>
      </w:tr>
      <w:tr w14:paraId="4320D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40296ED0">
            <w:pPr>
              <w:pStyle w:val="178"/>
            </w:pPr>
          </w:p>
        </w:tc>
        <w:tc>
          <w:tcPr>
            <w:tcW w:w="860" w:type="dxa"/>
            <w:vMerge w:val="continue"/>
            <w:shd w:val="clear" w:color="auto" w:fill="auto"/>
            <w:vAlign w:val="center"/>
          </w:tcPr>
          <w:p w14:paraId="25391390">
            <w:pPr>
              <w:pStyle w:val="178"/>
            </w:pPr>
          </w:p>
        </w:tc>
        <w:tc>
          <w:tcPr>
            <w:tcW w:w="1326" w:type="dxa"/>
            <w:shd w:val="clear" w:color="auto" w:fill="auto"/>
            <w:vAlign w:val="center"/>
          </w:tcPr>
          <w:p w14:paraId="528CCE2E">
            <w:pPr>
              <w:pStyle w:val="178"/>
              <w:jc w:val="left"/>
            </w:pPr>
            <w:r>
              <w:rPr>
                <w:rFonts w:hint="eastAsia"/>
              </w:rPr>
              <w:t>适用性</w:t>
            </w:r>
          </w:p>
        </w:tc>
        <w:tc>
          <w:tcPr>
            <w:tcW w:w="2591" w:type="dxa"/>
            <w:shd w:val="clear" w:color="auto" w:fill="auto"/>
            <w:vAlign w:val="center"/>
          </w:tcPr>
          <w:p w14:paraId="193FEEB8">
            <w:pPr>
              <w:pStyle w:val="178"/>
              <w:jc w:val="left"/>
            </w:pPr>
            <w:r>
              <w:rPr>
                <w:rFonts w:hint="eastAsia"/>
              </w:rPr>
              <w:t>全国、全行业普遍适用，满足市场需求、可执行。</w:t>
            </w:r>
          </w:p>
        </w:tc>
        <w:tc>
          <w:tcPr>
            <w:tcW w:w="2530" w:type="dxa"/>
            <w:shd w:val="clear" w:color="auto" w:fill="auto"/>
            <w:vAlign w:val="center"/>
          </w:tcPr>
          <w:p w14:paraId="20887F7A">
            <w:pPr>
              <w:pStyle w:val="178"/>
              <w:jc w:val="left"/>
            </w:pPr>
            <w:r>
              <w:rPr>
                <w:rFonts w:hint="eastAsia"/>
              </w:rPr>
              <w:t>专业评估。查验团体标准实施情况报告。</w:t>
            </w:r>
          </w:p>
        </w:tc>
        <w:tc>
          <w:tcPr>
            <w:tcW w:w="730" w:type="dxa"/>
          </w:tcPr>
          <w:p w14:paraId="4813F33A">
            <w:pPr>
              <w:pStyle w:val="178"/>
            </w:pPr>
          </w:p>
        </w:tc>
        <w:tc>
          <w:tcPr>
            <w:tcW w:w="748" w:type="dxa"/>
            <w:shd w:val="clear" w:color="auto" w:fill="auto"/>
            <w:vAlign w:val="center"/>
          </w:tcPr>
          <w:p w14:paraId="5E350B18">
            <w:pPr>
              <w:pStyle w:val="178"/>
            </w:pPr>
          </w:p>
        </w:tc>
      </w:tr>
      <w:tr w14:paraId="69703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restart"/>
            <w:shd w:val="clear" w:color="auto" w:fill="auto"/>
            <w:vAlign w:val="center"/>
          </w:tcPr>
          <w:p w14:paraId="47D58007">
            <w:pPr>
              <w:pStyle w:val="178"/>
            </w:pPr>
            <w:r>
              <w:t>4</w:t>
            </w:r>
          </w:p>
        </w:tc>
        <w:tc>
          <w:tcPr>
            <w:tcW w:w="860" w:type="dxa"/>
            <w:vMerge w:val="restart"/>
            <w:shd w:val="clear" w:color="auto" w:fill="auto"/>
            <w:vAlign w:val="center"/>
          </w:tcPr>
          <w:p w14:paraId="62F691E0">
            <w:pPr>
              <w:pStyle w:val="178"/>
            </w:pPr>
            <w:r>
              <w:rPr>
                <w:rFonts w:hint="eastAsia"/>
              </w:rPr>
              <w:t>标准实施情况</w:t>
            </w:r>
          </w:p>
        </w:tc>
        <w:tc>
          <w:tcPr>
            <w:tcW w:w="1326" w:type="dxa"/>
            <w:shd w:val="clear" w:color="auto" w:fill="auto"/>
            <w:vAlign w:val="center"/>
          </w:tcPr>
          <w:p w14:paraId="3F9936B4">
            <w:pPr>
              <w:pStyle w:val="178"/>
              <w:jc w:val="left"/>
            </w:pPr>
            <w:r>
              <w:rPr>
                <w:rFonts w:hint="eastAsia"/>
              </w:rPr>
              <w:t>实施时长</w:t>
            </w:r>
          </w:p>
        </w:tc>
        <w:tc>
          <w:tcPr>
            <w:tcW w:w="2591" w:type="dxa"/>
            <w:shd w:val="clear" w:color="auto" w:fill="auto"/>
            <w:vAlign w:val="center"/>
          </w:tcPr>
          <w:p w14:paraId="3F532D67">
            <w:pPr>
              <w:pStyle w:val="178"/>
              <w:jc w:val="left"/>
            </w:pPr>
            <w:r>
              <w:rPr>
                <w:rFonts w:hint="eastAsia"/>
              </w:rPr>
              <w:t>现行有效且实施满2年；相关领域标准化行政主管部门未收到过该标准实施方面的投诉。</w:t>
            </w:r>
          </w:p>
        </w:tc>
        <w:tc>
          <w:tcPr>
            <w:tcW w:w="2530" w:type="dxa"/>
            <w:shd w:val="clear" w:color="auto" w:fill="auto"/>
            <w:vAlign w:val="center"/>
          </w:tcPr>
          <w:p w14:paraId="4D2CDCD4">
            <w:pPr>
              <w:pStyle w:val="178"/>
              <w:jc w:val="left"/>
            </w:pPr>
            <w:r>
              <w:rPr>
                <w:rFonts w:hint="eastAsia"/>
              </w:rPr>
              <w:t>查验标准文本及全国团体标准信息平台登记信息。征求标准化行政主管部门意见。</w:t>
            </w:r>
          </w:p>
        </w:tc>
        <w:tc>
          <w:tcPr>
            <w:tcW w:w="730" w:type="dxa"/>
          </w:tcPr>
          <w:p w14:paraId="764A1E18">
            <w:pPr>
              <w:pStyle w:val="178"/>
            </w:pPr>
          </w:p>
        </w:tc>
        <w:tc>
          <w:tcPr>
            <w:tcW w:w="748" w:type="dxa"/>
            <w:shd w:val="clear" w:color="auto" w:fill="auto"/>
            <w:vAlign w:val="center"/>
          </w:tcPr>
          <w:p w14:paraId="150C5EC2">
            <w:pPr>
              <w:pStyle w:val="178"/>
            </w:pPr>
          </w:p>
        </w:tc>
      </w:tr>
      <w:tr w14:paraId="714A4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682B3433">
            <w:pPr>
              <w:pStyle w:val="178"/>
            </w:pPr>
          </w:p>
        </w:tc>
        <w:tc>
          <w:tcPr>
            <w:tcW w:w="860" w:type="dxa"/>
            <w:vMerge w:val="continue"/>
            <w:shd w:val="clear" w:color="auto" w:fill="auto"/>
            <w:vAlign w:val="center"/>
          </w:tcPr>
          <w:p w14:paraId="68CD3EC5">
            <w:pPr>
              <w:pStyle w:val="178"/>
            </w:pPr>
          </w:p>
        </w:tc>
        <w:tc>
          <w:tcPr>
            <w:tcW w:w="1326" w:type="dxa"/>
            <w:shd w:val="clear" w:color="auto" w:fill="auto"/>
            <w:vAlign w:val="center"/>
          </w:tcPr>
          <w:p w14:paraId="207AB3FA">
            <w:pPr>
              <w:pStyle w:val="178"/>
              <w:jc w:val="left"/>
            </w:pPr>
            <w:r>
              <w:rPr>
                <w:rFonts w:hint="eastAsia"/>
              </w:rPr>
              <w:t>实施范围</w:t>
            </w:r>
          </w:p>
        </w:tc>
        <w:tc>
          <w:tcPr>
            <w:tcW w:w="2591" w:type="dxa"/>
            <w:shd w:val="clear" w:color="auto" w:fill="auto"/>
            <w:vAlign w:val="center"/>
          </w:tcPr>
          <w:p w14:paraId="2DEFE1FE">
            <w:pPr>
              <w:pStyle w:val="178"/>
              <w:jc w:val="left"/>
            </w:pPr>
            <w:r>
              <w:rPr>
                <w:rFonts w:hint="eastAsia"/>
              </w:rPr>
              <w:t>在我国东部、中部、西部和东北地区均有推广应用，具备一定影响力。</w:t>
            </w:r>
          </w:p>
        </w:tc>
        <w:tc>
          <w:tcPr>
            <w:tcW w:w="2530" w:type="dxa"/>
            <w:shd w:val="clear" w:color="auto" w:fill="auto"/>
            <w:vAlign w:val="center"/>
          </w:tcPr>
          <w:p w14:paraId="79026136">
            <w:pPr>
              <w:pStyle w:val="178"/>
              <w:jc w:val="left"/>
            </w:pPr>
            <w:r>
              <w:rPr>
                <w:rFonts w:hint="eastAsia"/>
              </w:rPr>
              <w:t>查验团体标准实施情况报告。</w:t>
            </w:r>
          </w:p>
        </w:tc>
        <w:tc>
          <w:tcPr>
            <w:tcW w:w="730" w:type="dxa"/>
          </w:tcPr>
          <w:p w14:paraId="17E68A63">
            <w:pPr>
              <w:pStyle w:val="178"/>
            </w:pPr>
          </w:p>
        </w:tc>
        <w:tc>
          <w:tcPr>
            <w:tcW w:w="748" w:type="dxa"/>
            <w:shd w:val="clear" w:color="auto" w:fill="auto"/>
            <w:vAlign w:val="center"/>
          </w:tcPr>
          <w:p w14:paraId="288F6D4A">
            <w:pPr>
              <w:pStyle w:val="178"/>
            </w:pPr>
          </w:p>
        </w:tc>
      </w:tr>
      <w:tr w14:paraId="576E7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344609DD">
            <w:pPr>
              <w:pStyle w:val="178"/>
            </w:pPr>
          </w:p>
        </w:tc>
        <w:tc>
          <w:tcPr>
            <w:tcW w:w="860" w:type="dxa"/>
            <w:vMerge w:val="continue"/>
            <w:shd w:val="clear" w:color="auto" w:fill="auto"/>
            <w:vAlign w:val="center"/>
          </w:tcPr>
          <w:p w14:paraId="69411E11">
            <w:pPr>
              <w:pStyle w:val="178"/>
            </w:pPr>
          </w:p>
        </w:tc>
        <w:tc>
          <w:tcPr>
            <w:tcW w:w="1326" w:type="dxa"/>
            <w:shd w:val="clear" w:color="auto" w:fill="auto"/>
            <w:vAlign w:val="center"/>
          </w:tcPr>
          <w:p w14:paraId="0910FB68">
            <w:pPr>
              <w:pStyle w:val="178"/>
              <w:jc w:val="left"/>
            </w:pPr>
            <w:r>
              <w:rPr>
                <w:rFonts w:hint="eastAsia"/>
              </w:rPr>
              <w:t>宣贯情况</w:t>
            </w:r>
          </w:p>
        </w:tc>
        <w:tc>
          <w:tcPr>
            <w:tcW w:w="2591" w:type="dxa"/>
            <w:shd w:val="clear" w:color="auto" w:fill="auto"/>
            <w:vAlign w:val="center"/>
          </w:tcPr>
          <w:p w14:paraId="131CAC5C">
            <w:pPr>
              <w:pStyle w:val="178"/>
              <w:jc w:val="left"/>
            </w:pPr>
            <w:r>
              <w:rPr>
                <w:rFonts w:hint="eastAsia"/>
              </w:rPr>
              <w:t>在我国东部、中部、西部和东北地区均有宣贯，宣贯过程可追溯。</w:t>
            </w:r>
          </w:p>
        </w:tc>
        <w:tc>
          <w:tcPr>
            <w:tcW w:w="2530" w:type="dxa"/>
            <w:shd w:val="clear" w:color="auto" w:fill="auto"/>
            <w:vAlign w:val="center"/>
          </w:tcPr>
          <w:p w14:paraId="6C0103A4">
            <w:pPr>
              <w:pStyle w:val="178"/>
              <w:jc w:val="left"/>
            </w:pPr>
            <w:r>
              <w:rPr>
                <w:rFonts w:hint="eastAsia"/>
              </w:rPr>
              <w:t>查验团体标准实施情况报告、宣贯议程、通知、宣传报道等证明材料。</w:t>
            </w:r>
          </w:p>
        </w:tc>
        <w:tc>
          <w:tcPr>
            <w:tcW w:w="730" w:type="dxa"/>
          </w:tcPr>
          <w:p w14:paraId="1A6F3DEE">
            <w:pPr>
              <w:pStyle w:val="178"/>
            </w:pPr>
          </w:p>
        </w:tc>
        <w:tc>
          <w:tcPr>
            <w:tcW w:w="748" w:type="dxa"/>
            <w:shd w:val="clear" w:color="auto" w:fill="auto"/>
            <w:vAlign w:val="center"/>
          </w:tcPr>
          <w:p w14:paraId="1B5D22AC">
            <w:pPr>
              <w:pStyle w:val="178"/>
            </w:pPr>
          </w:p>
        </w:tc>
      </w:tr>
      <w:tr w14:paraId="481F8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358D49A2">
            <w:pPr>
              <w:pStyle w:val="178"/>
            </w:pPr>
          </w:p>
        </w:tc>
        <w:tc>
          <w:tcPr>
            <w:tcW w:w="860" w:type="dxa"/>
            <w:vMerge w:val="continue"/>
            <w:shd w:val="clear" w:color="auto" w:fill="auto"/>
            <w:vAlign w:val="center"/>
          </w:tcPr>
          <w:p w14:paraId="717820DC">
            <w:pPr>
              <w:pStyle w:val="178"/>
            </w:pPr>
          </w:p>
        </w:tc>
        <w:tc>
          <w:tcPr>
            <w:tcW w:w="1326" w:type="dxa"/>
            <w:shd w:val="clear" w:color="auto" w:fill="auto"/>
            <w:vAlign w:val="center"/>
          </w:tcPr>
          <w:p w14:paraId="55EF550C">
            <w:pPr>
              <w:pStyle w:val="178"/>
              <w:jc w:val="left"/>
            </w:pPr>
            <w:r>
              <w:rPr>
                <w:rFonts w:hint="eastAsia"/>
              </w:rPr>
              <w:t>采信或应用情况</w:t>
            </w:r>
          </w:p>
        </w:tc>
        <w:tc>
          <w:tcPr>
            <w:tcW w:w="2591" w:type="dxa"/>
            <w:shd w:val="clear" w:color="auto" w:fill="auto"/>
            <w:vAlign w:val="center"/>
          </w:tcPr>
          <w:p w14:paraId="4AB3B2EA">
            <w:pPr>
              <w:pStyle w:val="178"/>
              <w:jc w:val="left"/>
            </w:pPr>
            <w:r>
              <w:rPr>
                <w:rFonts w:hint="eastAsia"/>
              </w:rPr>
              <w:t>在法律、法规、政策、行政管理、公共管理、政府采购、生产经营等方面得到引用或采信，或在检验检测及认证认可中得到应用，或相关使用机构可提供应用实施该标准的证明材料。</w:t>
            </w:r>
          </w:p>
        </w:tc>
        <w:tc>
          <w:tcPr>
            <w:tcW w:w="2530" w:type="dxa"/>
            <w:shd w:val="clear" w:color="auto" w:fill="auto"/>
            <w:vAlign w:val="center"/>
          </w:tcPr>
          <w:p w14:paraId="2A55C6AB">
            <w:pPr>
              <w:pStyle w:val="178"/>
              <w:jc w:val="left"/>
            </w:pPr>
            <w:r>
              <w:rPr>
                <w:rFonts w:hint="eastAsia"/>
              </w:rPr>
              <w:t>专业评估。查验团体标准实施情况报告；推广应用证明材料；标准在法律、法规、政策、行政管理、公共管理、政府采购等方面的引用或采信的证明材料；标准在检验检测及认证认可中应用的证明材料等。</w:t>
            </w:r>
          </w:p>
        </w:tc>
        <w:tc>
          <w:tcPr>
            <w:tcW w:w="730" w:type="dxa"/>
          </w:tcPr>
          <w:p w14:paraId="05AE23F3">
            <w:pPr>
              <w:pStyle w:val="178"/>
            </w:pPr>
          </w:p>
        </w:tc>
        <w:tc>
          <w:tcPr>
            <w:tcW w:w="748" w:type="dxa"/>
            <w:shd w:val="clear" w:color="auto" w:fill="auto"/>
            <w:vAlign w:val="center"/>
          </w:tcPr>
          <w:p w14:paraId="67509F76">
            <w:pPr>
              <w:pStyle w:val="178"/>
            </w:pPr>
          </w:p>
        </w:tc>
      </w:tr>
      <w:tr w14:paraId="542A6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9" w:type="dxa"/>
            <w:vMerge w:val="continue"/>
            <w:shd w:val="clear" w:color="auto" w:fill="auto"/>
            <w:vAlign w:val="center"/>
          </w:tcPr>
          <w:p w14:paraId="578E9916">
            <w:pPr>
              <w:pStyle w:val="178"/>
            </w:pPr>
          </w:p>
        </w:tc>
        <w:tc>
          <w:tcPr>
            <w:tcW w:w="860" w:type="dxa"/>
            <w:vMerge w:val="continue"/>
            <w:shd w:val="clear" w:color="auto" w:fill="auto"/>
            <w:vAlign w:val="center"/>
          </w:tcPr>
          <w:p w14:paraId="203C22D2">
            <w:pPr>
              <w:pStyle w:val="178"/>
            </w:pPr>
          </w:p>
        </w:tc>
        <w:tc>
          <w:tcPr>
            <w:tcW w:w="1326" w:type="dxa"/>
            <w:shd w:val="clear" w:color="auto" w:fill="auto"/>
            <w:vAlign w:val="center"/>
          </w:tcPr>
          <w:p w14:paraId="3B217603">
            <w:pPr>
              <w:pStyle w:val="178"/>
              <w:jc w:val="left"/>
            </w:pPr>
            <w:r>
              <w:rPr>
                <w:rFonts w:hint="eastAsia"/>
              </w:rPr>
              <w:t>实施效益</w:t>
            </w:r>
          </w:p>
        </w:tc>
        <w:tc>
          <w:tcPr>
            <w:tcW w:w="2591" w:type="dxa"/>
            <w:shd w:val="clear" w:color="auto" w:fill="auto"/>
            <w:vAlign w:val="center"/>
          </w:tcPr>
          <w:p w14:paraId="71BF9009">
            <w:pPr>
              <w:pStyle w:val="178"/>
              <w:jc w:val="left"/>
            </w:pPr>
            <w:r>
              <w:rPr>
                <w:rFonts w:hint="eastAsia"/>
              </w:rPr>
              <w:t>具有社会效益和/或经济效益和/或生态效益，包括但不限于促进医疗技术/服务/产品提升、促进贸易/交流等，可提供实施前后对比分析报告、卫生经济学评估报告等证明材料</w:t>
            </w:r>
          </w:p>
        </w:tc>
        <w:tc>
          <w:tcPr>
            <w:tcW w:w="2530" w:type="dxa"/>
            <w:shd w:val="clear" w:color="auto" w:fill="auto"/>
            <w:vAlign w:val="center"/>
          </w:tcPr>
          <w:p w14:paraId="1DF56F22">
            <w:pPr>
              <w:pStyle w:val="178"/>
              <w:jc w:val="left"/>
            </w:pPr>
            <w:r>
              <w:rPr>
                <w:rFonts w:hint="eastAsia"/>
              </w:rPr>
              <w:t>专业评估。查验团体标准实施情况报告。经济效益评价指标包括但不限于：提升效益，生产效率、销售额、销量、产值、市场规模等效益提升；降低成本，采购、生产、交易等成本降低；技术或产品升级迭代等。社会效益评价指标包括但不限于：促进社会发展，提高创新链、产业链、供应链标准化水平；提高产品质量，提升工艺和技术水平，促进进步和创新，促进贸易和交流，促进产业健康发展；维护公共安全，保护人身健康等。生态效益评价指标包括但不限于：资源节约与利用、环保、污染物控制等。</w:t>
            </w:r>
          </w:p>
        </w:tc>
        <w:tc>
          <w:tcPr>
            <w:tcW w:w="730" w:type="dxa"/>
          </w:tcPr>
          <w:p w14:paraId="7896CE54">
            <w:pPr>
              <w:pStyle w:val="178"/>
            </w:pPr>
          </w:p>
        </w:tc>
        <w:tc>
          <w:tcPr>
            <w:tcW w:w="748" w:type="dxa"/>
            <w:shd w:val="clear" w:color="auto" w:fill="auto"/>
            <w:vAlign w:val="center"/>
          </w:tcPr>
          <w:p w14:paraId="168469A7">
            <w:pPr>
              <w:pStyle w:val="178"/>
            </w:pPr>
          </w:p>
        </w:tc>
      </w:tr>
      <w:tr w14:paraId="1C23A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735" w:type="dxa"/>
            <w:gridSpan w:val="3"/>
            <w:shd w:val="clear" w:color="auto" w:fill="auto"/>
            <w:vAlign w:val="center"/>
          </w:tcPr>
          <w:p w14:paraId="0F43AF2A">
            <w:pPr>
              <w:pStyle w:val="178"/>
            </w:pPr>
            <w:r>
              <w:rPr>
                <w:rFonts w:hint="eastAsia"/>
              </w:rPr>
              <w:t>评估结果</w:t>
            </w:r>
          </w:p>
        </w:tc>
        <w:tc>
          <w:tcPr>
            <w:tcW w:w="6599" w:type="dxa"/>
            <w:gridSpan w:val="4"/>
            <w:shd w:val="clear" w:color="auto" w:fill="auto"/>
            <w:vAlign w:val="center"/>
          </w:tcPr>
          <w:p w14:paraId="0C931B06">
            <w:pPr>
              <w:pStyle w:val="178"/>
            </w:pPr>
            <w:r>
              <w:rPr>
                <w:rFonts w:hint="eastAsia" w:cs="MS Mincho" w:asciiTheme="minorEastAsia" w:hAnsiTheme="minorEastAsia" w:eastAsiaTheme="minorEastAsia"/>
              </w:rPr>
              <w:t>□</w:t>
            </w:r>
            <w:r>
              <w:rPr>
                <w:rFonts w:hint="eastAsia"/>
              </w:rPr>
              <w:t xml:space="preserve"> 同意推荐转化 </w:t>
            </w:r>
            <w:r>
              <w:t xml:space="preserve">                 </w:t>
            </w:r>
            <w:r>
              <w:rPr>
                <w:rFonts w:hint="eastAsia" w:cs="MS Mincho" w:asciiTheme="minorEastAsia" w:hAnsiTheme="minorEastAsia" w:eastAsiaTheme="minorEastAsia"/>
              </w:rPr>
              <w:t xml:space="preserve">□ </w:t>
            </w:r>
            <w:r>
              <w:rPr>
                <w:rFonts w:hint="eastAsia"/>
              </w:rPr>
              <w:t>不同意推荐转化</w:t>
            </w:r>
          </w:p>
        </w:tc>
      </w:tr>
      <w:tr w14:paraId="6E5F6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2735" w:type="dxa"/>
            <w:gridSpan w:val="3"/>
            <w:shd w:val="clear" w:color="auto" w:fill="auto"/>
            <w:vAlign w:val="center"/>
          </w:tcPr>
          <w:p w14:paraId="20F03DEB">
            <w:pPr>
              <w:pStyle w:val="178"/>
            </w:pPr>
            <w:r>
              <w:rPr>
                <w:rFonts w:hint="eastAsia"/>
              </w:rPr>
              <w:t>评估专家</w:t>
            </w:r>
          </w:p>
        </w:tc>
        <w:tc>
          <w:tcPr>
            <w:tcW w:w="6599" w:type="dxa"/>
            <w:gridSpan w:val="4"/>
            <w:shd w:val="clear" w:color="auto" w:fill="auto"/>
            <w:vAlign w:val="center"/>
          </w:tcPr>
          <w:p w14:paraId="6A3EFB9A">
            <w:pPr>
              <w:pStyle w:val="178"/>
              <w:jc w:val="left"/>
              <w:rPr>
                <w:rFonts w:hAnsi="宋体" w:cs="MS Mincho"/>
              </w:rPr>
            </w:pPr>
            <w:r>
              <w:rPr>
                <w:rFonts w:hint="eastAsia" w:hAnsi="宋体" w:cs="MS Mincho"/>
              </w:rPr>
              <w:t>评估专家(签字/签章)</w:t>
            </w:r>
          </w:p>
          <w:p w14:paraId="6B4DA0E9">
            <w:pPr>
              <w:pStyle w:val="178"/>
              <w:rPr>
                <w:rFonts w:hAnsi="宋体" w:cs="MS Mincho"/>
              </w:rPr>
            </w:pPr>
          </w:p>
          <w:p w14:paraId="454D9913">
            <w:pPr>
              <w:pStyle w:val="178"/>
              <w:jc w:val="right"/>
              <w:rPr>
                <w:rFonts w:cs="MS Mincho" w:asciiTheme="minorEastAsia" w:hAnsiTheme="minorEastAsia" w:eastAsiaTheme="minorEastAsia"/>
              </w:rPr>
            </w:pPr>
            <w:r>
              <w:rPr>
                <w:rFonts w:hint="eastAsia" w:hAnsi="宋体" w:cs="MS Mincho"/>
              </w:rPr>
              <w:t xml:space="preserve">年 </w:t>
            </w:r>
            <w:r>
              <w:rPr>
                <w:rFonts w:hAnsi="宋体" w:cs="MS Mincho"/>
              </w:rPr>
              <w:t xml:space="preserve">   </w:t>
            </w:r>
            <w:r>
              <w:rPr>
                <w:rFonts w:hint="eastAsia" w:hAnsi="宋体" w:cs="MS Mincho"/>
              </w:rPr>
              <w:t xml:space="preserve">月 </w:t>
            </w:r>
            <w:r>
              <w:rPr>
                <w:rFonts w:hAnsi="宋体" w:cs="MS Mincho"/>
              </w:rPr>
              <w:t xml:space="preserve">   </w:t>
            </w:r>
            <w:r>
              <w:rPr>
                <w:rFonts w:hint="eastAsia" w:hAnsi="宋体" w:cs="MS Mincho"/>
              </w:rPr>
              <w:t>日</w:t>
            </w:r>
          </w:p>
        </w:tc>
      </w:tr>
      <w:tr w14:paraId="7EFCE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shd w:val="clear" w:color="auto" w:fill="auto"/>
            <w:vAlign w:val="center"/>
          </w:tcPr>
          <w:p w14:paraId="7386DFD6">
            <w:pPr>
              <w:pStyle w:val="179"/>
            </w:pPr>
            <w:r>
              <w:rPr>
                <w:rFonts w:hint="eastAsia"/>
              </w:rPr>
              <w:t>所有二级指标评估结果均为“符合”则评为“同意推荐转化”，任意二级指标评估结果为“不符合”则评为“不同意推荐转化”。</w:t>
            </w:r>
          </w:p>
          <w:p w14:paraId="507B171F">
            <w:pPr>
              <w:pStyle w:val="178"/>
            </w:pPr>
          </w:p>
        </w:tc>
      </w:tr>
    </w:tbl>
    <w:p w14:paraId="679A6C80">
      <w:pPr>
        <w:pStyle w:val="56"/>
        <w:ind w:firstLine="420"/>
      </w:pPr>
    </w:p>
    <w:p w14:paraId="5651B010">
      <w:pPr>
        <w:pStyle w:val="56"/>
        <w:ind w:firstLine="420"/>
        <w:sectPr>
          <w:pgSz w:w="11906" w:h="16838"/>
          <w:pgMar w:top="1928" w:right="1134" w:bottom="1134" w:left="1134" w:header="1418" w:footer="1134" w:gutter="284"/>
          <w:cols w:space="425" w:num="1"/>
          <w:formProt w:val="0"/>
          <w:docGrid w:linePitch="312" w:charSpace="0"/>
        </w:sectPr>
      </w:pPr>
    </w:p>
    <w:p w14:paraId="0C755DB3">
      <w:pPr>
        <w:pStyle w:val="198"/>
        <w:rPr>
          <w:vanish w:val="0"/>
        </w:rPr>
      </w:pPr>
    </w:p>
    <w:p w14:paraId="4D1DC835">
      <w:pPr>
        <w:pStyle w:val="199"/>
        <w:rPr>
          <w:vanish w:val="0"/>
        </w:rPr>
      </w:pPr>
    </w:p>
    <w:p w14:paraId="042B4DA8">
      <w:pPr>
        <w:pStyle w:val="76"/>
        <w:spacing w:after="120"/>
      </w:pPr>
      <w:r>
        <w:br w:type="textWrapping"/>
      </w:r>
      <w:r>
        <w:rPr>
          <w:rFonts w:hint="eastAsia"/>
        </w:rPr>
        <w:t>（资料性）</w:t>
      </w:r>
      <w:r>
        <w:br w:type="textWrapping"/>
      </w:r>
      <w:r>
        <w:rPr>
          <w:rFonts w:hint="eastAsia"/>
        </w:rPr>
        <w:t>团体标准转化为行业标准申请表</w:t>
      </w:r>
    </w:p>
    <w:p w14:paraId="41D9BAD8">
      <w:pPr>
        <w:pStyle w:val="77"/>
        <w:spacing w:before="120" w:after="120"/>
        <w:ind w:left="0"/>
      </w:pPr>
      <w:r>
        <w:rPr>
          <w:rFonts w:hint="eastAsia"/>
        </w:rPr>
        <w:t>团体标准转化为行业标准申请表</w:t>
      </w:r>
    </w:p>
    <w:p w14:paraId="5912B5AC">
      <w:pPr>
        <w:pStyle w:val="198"/>
        <w:rPr>
          <w:vanish w:val="0"/>
        </w:rPr>
      </w:pPr>
    </w:p>
    <w:p w14:paraId="0FFB12CA">
      <w:pPr>
        <w:pStyle w:val="199"/>
        <w:rPr>
          <w:vanish w:val="0"/>
        </w:rPr>
      </w:pPr>
    </w:p>
    <w:tbl>
      <w:tblPr>
        <w:tblStyle w:val="2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71"/>
      </w:tblGrid>
      <w:tr w14:paraId="4E40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1980" w:type="dxa"/>
          </w:tcPr>
          <w:p w14:paraId="618BE486">
            <w:pPr>
              <w:pStyle w:val="56"/>
              <w:ind w:firstLine="0" w:firstLineChars="0"/>
              <w:jc w:val="center"/>
              <w:rPr>
                <w:b/>
              </w:rPr>
            </w:pPr>
            <w:r>
              <w:rPr>
                <w:rFonts w:hint="eastAsia"/>
                <w:b/>
              </w:rPr>
              <w:t>项目</w:t>
            </w:r>
          </w:p>
        </w:tc>
        <w:tc>
          <w:tcPr>
            <w:tcW w:w="7371" w:type="dxa"/>
          </w:tcPr>
          <w:p w14:paraId="70B768A6">
            <w:pPr>
              <w:pStyle w:val="56"/>
              <w:ind w:firstLine="0" w:firstLineChars="0"/>
              <w:jc w:val="center"/>
              <w:rPr>
                <w:b/>
              </w:rPr>
            </w:pPr>
            <w:r>
              <w:rPr>
                <w:rFonts w:hint="eastAsia"/>
                <w:b/>
              </w:rPr>
              <w:t>内容</w:t>
            </w:r>
          </w:p>
        </w:tc>
      </w:tr>
      <w:tr w14:paraId="0453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80" w:type="dxa"/>
            <w:vAlign w:val="center"/>
          </w:tcPr>
          <w:p w14:paraId="73F53C0F">
            <w:pPr>
              <w:widowControl/>
              <w:adjustRightInd/>
              <w:spacing w:line="240" w:lineRule="auto"/>
              <w:jc w:val="left"/>
              <w:rPr>
                <w:color w:val="000000"/>
                <w:kern w:val="0"/>
                <w:sz w:val="24"/>
                <w:szCs w:val="24"/>
              </w:rPr>
            </w:pPr>
            <w:r>
              <w:rPr>
                <w:rFonts w:hint="eastAsia"/>
                <w:color w:val="000000"/>
              </w:rPr>
              <w:t>团体标准中文名称</w:t>
            </w:r>
          </w:p>
        </w:tc>
        <w:tc>
          <w:tcPr>
            <w:tcW w:w="7371" w:type="dxa"/>
          </w:tcPr>
          <w:p w14:paraId="6BC7FCE0">
            <w:pPr>
              <w:pStyle w:val="56"/>
              <w:ind w:firstLine="0" w:firstLineChars="0"/>
            </w:pPr>
          </w:p>
        </w:tc>
      </w:tr>
      <w:tr w14:paraId="482C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1980" w:type="dxa"/>
            <w:vAlign w:val="center"/>
          </w:tcPr>
          <w:p w14:paraId="25D45D08">
            <w:pPr>
              <w:widowControl/>
              <w:adjustRightInd/>
              <w:spacing w:line="240" w:lineRule="auto"/>
              <w:jc w:val="left"/>
              <w:rPr>
                <w:color w:val="000000"/>
                <w:kern w:val="0"/>
                <w:sz w:val="24"/>
                <w:szCs w:val="24"/>
              </w:rPr>
            </w:pPr>
            <w:r>
              <w:rPr>
                <w:rFonts w:hint="eastAsia"/>
                <w:color w:val="000000"/>
              </w:rPr>
              <w:t>团体标准英文名称</w:t>
            </w:r>
          </w:p>
        </w:tc>
        <w:tc>
          <w:tcPr>
            <w:tcW w:w="7371" w:type="dxa"/>
          </w:tcPr>
          <w:p w14:paraId="4FEB647D">
            <w:pPr>
              <w:pStyle w:val="56"/>
              <w:ind w:firstLine="0" w:firstLineChars="0"/>
            </w:pPr>
          </w:p>
        </w:tc>
      </w:tr>
      <w:tr w14:paraId="6C9C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1980" w:type="dxa"/>
            <w:vAlign w:val="center"/>
          </w:tcPr>
          <w:p w14:paraId="6D37B6EB">
            <w:pPr>
              <w:rPr>
                <w:color w:val="000000"/>
              </w:rPr>
            </w:pPr>
            <w:r>
              <w:rPr>
                <w:rFonts w:hint="eastAsia"/>
                <w:color w:val="000000"/>
              </w:rPr>
              <w:t>标准号</w:t>
            </w:r>
          </w:p>
        </w:tc>
        <w:tc>
          <w:tcPr>
            <w:tcW w:w="7371" w:type="dxa"/>
          </w:tcPr>
          <w:p w14:paraId="69FD6766">
            <w:pPr>
              <w:pStyle w:val="56"/>
              <w:ind w:firstLine="0" w:firstLineChars="0"/>
            </w:pPr>
          </w:p>
        </w:tc>
      </w:tr>
      <w:tr w14:paraId="7332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80" w:type="dxa"/>
            <w:vAlign w:val="center"/>
          </w:tcPr>
          <w:p w14:paraId="7D711B91">
            <w:pPr>
              <w:rPr>
                <w:color w:val="000000"/>
              </w:rPr>
            </w:pPr>
            <w:r>
              <w:rPr>
                <w:rFonts w:hint="eastAsia"/>
                <w:color w:val="000000"/>
              </w:rPr>
              <w:t>发布机构</w:t>
            </w:r>
          </w:p>
        </w:tc>
        <w:tc>
          <w:tcPr>
            <w:tcW w:w="7371" w:type="dxa"/>
          </w:tcPr>
          <w:p w14:paraId="1401DDF8">
            <w:pPr>
              <w:pStyle w:val="56"/>
              <w:ind w:firstLine="0" w:firstLineChars="0"/>
            </w:pPr>
          </w:p>
        </w:tc>
      </w:tr>
      <w:tr w14:paraId="3B1B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80" w:type="dxa"/>
            <w:vAlign w:val="center"/>
          </w:tcPr>
          <w:p w14:paraId="57AC5A5B">
            <w:pPr>
              <w:rPr>
                <w:color w:val="000000"/>
              </w:rPr>
            </w:pPr>
            <w:r>
              <w:rPr>
                <w:rFonts w:hint="eastAsia"/>
                <w:color w:val="000000"/>
              </w:rPr>
              <w:t>发布日期</w:t>
            </w:r>
          </w:p>
        </w:tc>
        <w:tc>
          <w:tcPr>
            <w:tcW w:w="7371" w:type="dxa"/>
          </w:tcPr>
          <w:p w14:paraId="59581D39">
            <w:pPr>
              <w:pStyle w:val="56"/>
              <w:ind w:firstLine="0" w:firstLineChars="0"/>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0827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80" w:type="dxa"/>
            <w:vAlign w:val="center"/>
          </w:tcPr>
          <w:p w14:paraId="59940B02">
            <w:pPr>
              <w:rPr>
                <w:color w:val="000000"/>
              </w:rPr>
            </w:pPr>
            <w:r>
              <w:rPr>
                <w:rFonts w:hint="eastAsia"/>
                <w:color w:val="000000"/>
              </w:rPr>
              <w:t>实施日期</w:t>
            </w:r>
          </w:p>
        </w:tc>
        <w:tc>
          <w:tcPr>
            <w:tcW w:w="7371" w:type="dxa"/>
          </w:tcPr>
          <w:p w14:paraId="11C3B7DF">
            <w:pPr>
              <w:pStyle w:val="56"/>
              <w:ind w:firstLine="0" w:firstLineChars="0"/>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1F95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0" w:type="dxa"/>
            <w:vAlign w:val="center"/>
          </w:tcPr>
          <w:p w14:paraId="2E36A256">
            <w:pPr>
              <w:rPr>
                <w:color w:val="000000"/>
              </w:rPr>
            </w:pPr>
            <w:r>
              <w:rPr>
                <w:rFonts w:hint="eastAsia"/>
                <w:color w:val="000000"/>
              </w:rPr>
              <w:t>全部起草单位</w:t>
            </w:r>
          </w:p>
        </w:tc>
        <w:tc>
          <w:tcPr>
            <w:tcW w:w="7371" w:type="dxa"/>
          </w:tcPr>
          <w:p w14:paraId="60792E3C">
            <w:pPr>
              <w:pStyle w:val="56"/>
              <w:ind w:firstLine="0" w:firstLineChars="0"/>
            </w:pPr>
          </w:p>
        </w:tc>
      </w:tr>
      <w:tr w14:paraId="669F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980" w:type="dxa"/>
            <w:vAlign w:val="center"/>
          </w:tcPr>
          <w:p w14:paraId="5BD98FA4">
            <w:pPr>
              <w:rPr>
                <w:color w:val="000000"/>
              </w:rPr>
            </w:pPr>
            <w:r>
              <w:rPr>
                <w:rFonts w:hint="eastAsia"/>
                <w:color w:val="000000"/>
              </w:rPr>
              <w:t>全部起草人</w:t>
            </w:r>
          </w:p>
        </w:tc>
        <w:tc>
          <w:tcPr>
            <w:tcW w:w="7371" w:type="dxa"/>
          </w:tcPr>
          <w:p w14:paraId="708F71BF">
            <w:pPr>
              <w:pStyle w:val="56"/>
              <w:ind w:firstLine="0" w:firstLineChars="0"/>
            </w:pPr>
          </w:p>
        </w:tc>
      </w:tr>
      <w:tr w14:paraId="0D5C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0" w:type="dxa"/>
            <w:vAlign w:val="center"/>
          </w:tcPr>
          <w:p w14:paraId="0D381FDF">
            <w:pPr>
              <w:rPr>
                <w:color w:val="000000"/>
              </w:rPr>
            </w:pPr>
            <w:r>
              <w:rPr>
                <w:rFonts w:hint="eastAsia"/>
                <w:color w:val="000000"/>
              </w:rPr>
              <w:t>联系人及手机号</w:t>
            </w:r>
          </w:p>
        </w:tc>
        <w:tc>
          <w:tcPr>
            <w:tcW w:w="7371" w:type="dxa"/>
          </w:tcPr>
          <w:p w14:paraId="0C2671B9">
            <w:pPr>
              <w:pStyle w:val="56"/>
              <w:ind w:firstLine="0" w:firstLineChars="0"/>
            </w:pPr>
          </w:p>
        </w:tc>
      </w:tr>
      <w:tr w14:paraId="422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980" w:type="dxa"/>
            <w:vAlign w:val="center"/>
          </w:tcPr>
          <w:p w14:paraId="32E26D9D">
            <w:pPr>
              <w:rPr>
                <w:color w:val="000000"/>
              </w:rPr>
            </w:pPr>
            <w:r>
              <w:rPr>
                <w:rFonts w:hint="eastAsia"/>
                <w:color w:val="000000"/>
              </w:rPr>
              <w:t>第一起草人意见</w:t>
            </w:r>
          </w:p>
        </w:tc>
        <w:tc>
          <w:tcPr>
            <w:tcW w:w="7371" w:type="dxa"/>
          </w:tcPr>
          <w:p w14:paraId="04145207">
            <w:pPr>
              <w:pStyle w:val="56"/>
              <w:ind w:firstLine="0" w:firstLineChars="0"/>
            </w:pPr>
          </w:p>
          <w:p w14:paraId="1E6D6240">
            <w:pPr>
              <w:pStyle w:val="56"/>
              <w:ind w:firstLine="0" w:firstLineChars="0"/>
            </w:pPr>
          </w:p>
          <w:p w14:paraId="7A51BEBB">
            <w:pPr>
              <w:pStyle w:val="56"/>
              <w:ind w:firstLine="0" w:firstLineChars="0"/>
            </w:pPr>
          </w:p>
          <w:p w14:paraId="52E513AB">
            <w:pPr>
              <w:pStyle w:val="56"/>
              <w:ind w:firstLine="0" w:firstLineChars="0"/>
              <w:jc w:val="right"/>
            </w:pPr>
            <w:r>
              <w:rPr>
                <w:rFonts w:hint="eastAsia"/>
              </w:rPr>
              <w:t>第一起草人（签字/签章）</w:t>
            </w:r>
          </w:p>
          <w:p w14:paraId="18B12514">
            <w:pPr>
              <w:pStyle w:val="56"/>
              <w:ind w:firstLine="0" w:firstLineChars="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64EA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980" w:type="dxa"/>
            <w:vAlign w:val="center"/>
          </w:tcPr>
          <w:p w14:paraId="659CFA8A">
            <w:pPr>
              <w:rPr>
                <w:color w:val="000000"/>
              </w:rPr>
            </w:pPr>
            <w:r>
              <w:rPr>
                <w:rFonts w:hint="eastAsia"/>
                <w:color w:val="000000"/>
              </w:rPr>
              <w:t>第一起草单位意见</w:t>
            </w:r>
          </w:p>
        </w:tc>
        <w:tc>
          <w:tcPr>
            <w:tcW w:w="7371" w:type="dxa"/>
          </w:tcPr>
          <w:p w14:paraId="515882EE">
            <w:pPr>
              <w:pStyle w:val="56"/>
              <w:ind w:firstLine="0" w:firstLineChars="0"/>
            </w:pPr>
          </w:p>
          <w:p w14:paraId="60F41103">
            <w:pPr>
              <w:pStyle w:val="56"/>
              <w:ind w:firstLine="0" w:firstLineChars="0"/>
            </w:pPr>
          </w:p>
          <w:p w14:paraId="7ED3A8E9">
            <w:pPr>
              <w:pStyle w:val="56"/>
              <w:ind w:firstLine="0" w:firstLineChars="0"/>
            </w:pPr>
          </w:p>
          <w:p w14:paraId="64C46E5B">
            <w:pPr>
              <w:pStyle w:val="56"/>
              <w:ind w:firstLine="0" w:firstLineChars="0"/>
              <w:jc w:val="right"/>
            </w:pPr>
            <w:r>
              <w:rPr>
                <w:rFonts w:hint="eastAsia"/>
              </w:rPr>
              <w:t>第一起草单位（公章）</w:t>
            </w:r>
          </w:p>
          <w:p w14:paraId="5004FC29">
            <w:pPr>
              <w:pStyle w:val="56"/>
              <w:ind w:firstLine="0" w:firstLineChars="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12DD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980" w:type="dxa"/>
            <w:vAlign w:val="center"/>
          </w:tcPr>
          <w:p w14:paraId="779B314C">
            <w:pPr>
              <w:rPr>
                <w:color w:val="000000"/>
              </w:rPr>
            </w:pPr>
            <w:r>
              <w:rPr>
                <w:rFonts w:hint="eastAsia"/>
                <w:color w:val="000000"/>
              </w:rPr>
              <w:t>发布机构审查意见</w:t>
            </w:r>
          </w:p>
        </w:tc>
        <w:tc>
          <w:tcPr>
            <w:tcW w:w="7371" w:type="dxa"/>
          </w:tcPr>
          <w:p w14:paraId="29D91D4B">
            <w:pPr>
              <w:pStyle w:val="56"/>
              <w:ind w:firstLine="0" w:firstLineChars="0"/>
            </w:pPr>
          </w:p>
          <w:p w14:paraId="75E8EA97">
            <w:pPr>
              <w:pStyle w:val="56"/>
              <w:ind w:firstLine="0" w:firstLineChars="0"/>
            </w:pPr>
          </w:p>
          <w:p w14:paraId="21870D09">
            <w:pPr>
              <w:pStyle w:val="56"/>
              <w:ind w:firstLine="0" w:firstLineChars="0"/>
            </w:pPr>
          </w:p>
          <w:p w14:paraId="260B281B">
            <w:pPr>
              <w:pStyle w:val="56"/>
              <w:ind w:firstLine="0" w:firstLineChars="0"/>
              <w:jc w:val="right"/>
            </w:pPr>
            <w:r>
              <w:rPr>
                <w:rFonts w:hint="eastAsia"/>
              </w:rPr>
              <w:t>发布机构（公章）</w:t>
            </w:r>
          </w:p>
          <w:p w14:paraId="53179525">
            <w:pPr>
              <w:pStyle w:val="56"/>
              <w:ind w:firstLine="0" w:firstLineChars="0"/>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14:paraId="0D756026">
      <w:pPr>
        <w:pStyle w:val="56"/>
        <w:ind w:firstLine="420"/>
      </w:pPr>
    </w:p>
    <w:p w14:paraId="3242B258">
      <w:pPr>
        <w:pStyle w:val="56"/>
        <w:ind w:firstLine="420"/>
        <w:sectPr>
          <w:pgSz w:w="11906" w:h="16838"/>
          <w:pgMar w:top="1928" w:right="1134" w:bottom="1134" w:left="1134" w:header="1418" w:footer="1134" w:gutter="284"/>
          <w:cols w:space="425" w:num="1"/>
          <w:formProt w:val="0"/>
          <w:docGrid w:linePitch="312" w:charSpace="0"/>
        </w:sectPr>
      </w:pPr>
    </w:p>
    <w:p w14:paraId="630D6C24">
      <w:pPr>
        <w:pStyle w:val="198"/>
        <w:rPr>
          <w:vanish w:val="0"/>
        </w:rPr>
      </w:pPr>
    </w:p>
    <w:p w14:paraId="68E3D7D9">
      <w:pPr>
        <w:pStyle w:val="199"/>
        <w:rPr>
          <w:vanish w:val="0"/>
        </w:rPr>
      </w:pPr>
    </w:p>
    <w:p w14:paraId="7749D3DA">
      <w:pPr>
        <w:pStyle w:val="76"/>
        <w:spacing w:after="120"/>
      </w:pPr>
      <w:r>
        <w:br w:type="textWrapping"/>
      </w:r>
      <w:r>
        <w:rPr>
          <w:rFonts w:hint="eastAsia"/>
        </w:rPr>
        <w:t>（资料性）</w:t>
      </w:r>
      <w:r>
        <w:br w:type="textWrapping"/>
      </w:r>
      <w:r>
        <w:rPr>
          <w:rFonts w:hint="eastAsia"/>
        </w:rPr>
        <w:t>团体标准编制说明编写指南</w:t>
      </w:r>
    </w:p>
    <w:p w14:paraId="7E054D00">
      <w:pPr>
        <w:pStyle w:val="56"/>
        <w:ind w:firstLine="420"/>
        <w:rPr>
          <w:rFonts w:hint="eastAsia"/>
        </w:rPr>
      </w:pPr>
      <w:r>
        <w:rPr>
          <w:rFonts w:hint="eastAsia"/>
        </w:rPr>
        <w:t>团体标准编制说明应包括以下内容：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7217"/>
      </w:tblGrid>
      <w:tr w14:paraId="0813D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vAlign w:val="center"/>
          </w:tcPr>
          <w:p w14:paraId="229E031A">
            <w:pPr>
              <w:pStyle w:val="178"/>
              <w:rPr>
                <w:szCs w:val="21"/>
              </w:rPr>
            </w:pPr>
            <w:r>
              <w:rPr>
                <w:rFonts w:hint="eastAsia"/>
                <w:sz w:val="21"/>
                <w:szCs w:val="21"/>
              </w:rPr>
              <w:t>序号</w:t>
            </w:r>
          </w:p>
        </w:tc>
        <w:tc>
          <w:tcPr>
            <w:tcW w:w="7217" w:type="dxa"/>
            <w:tcBorders>
              <w:top w:val="single" w:color="auto" w:sz="8" w:space="0"/>
              <w:bottom w:val="single" w:color="auto" w:sz="8" w:space="0"/>
            </w:tcBorders>
            <w:shd w:val="clear" w:color="auto" w:fill="auto"/>
            <w:vAlign w:val="center"/>
          </w:tcPr>
          <w:p w14:paraId="56704DE2">
            <w:pPr>
              <w:pStyle w:val="178"/>
              <w:rPr>
                <w:szCs w:val="21"/>
              </w:rPr>
            </w:pPr>
            <w:r>
              <w:rPr>
                <w:rFonts w:hint="eastAsia"/>
                <w:sz w:val="21"/>
                <w:szCs w:val="21"/>
              </w:rPr>
              <w:t>内容</w:t>
            </w:r>
          </w:p>
        </w:tc>
      </w:tr>
      <w:tr w14:paraId="38CDD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14:paraId="4C8533CC">
            <w:pPr>
              <w:pStyle w:val="178"/>
              <w:rPr>
                <w:szCs w:val="21"/>
              </w:rPr>
            </w:pPr>
            <w:r>
              <w:rPr>
                <w:sz w:val="21"/>
                <w:szCs w:val="21"/>
              </w:rPr>
              <w:t>1</w:t>
            </w:r>
          </w:p>
        </w:tc>
        <w:tc>
          <w:tcPr>
            <w:tcW w:w="7217" w:type="dxa"/>
            <w:tcBorders>
              <w:top w:val="single" w:color="auto" w:sz="8" w:space="0"/>
            </w:tcBorders>
            <w:shd w:val="clear" w:color="auto" w:fill="auto"/>
          </w:tcPr>
          <w:p w14:paraId="49EF1E3F">
            <w:pPr>
              <w:pStyle w:val="178"/>
              <w:jc w:val="left"/>
              <w:rPr>
                <w:szCs w:val="21"/>
              </w:rPr>
            </w:pPr>
            <w:r>
              <w:rPr>
                <w:rFonts w:hint="eastAsia" w:hAnsi="宋体"/>
                <w:sz w:val="21"/>
                <w:szCs w:val="21"/>
              </w:rPr>
              <w:t>标准制定的背景和目的</w:t>
            </w:r>
          </w:p>
        </w:tc>
      </w:tr>
      <w:tr w14:paraId="62DDE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65782A34">
            <w:pPr>
              <w:pStyle w:val="178"/>
              <w:rPr>
                <w:szCs w:val="21"/>
              </w:rPr>
            </w:pPr>
            <w:r>
              <w:rPr>
                <w:sz w:val="21"/>
                <w:szCs w:val="21"/>
              </w:rPr>
              <w:t>2</w:t>
            </w:r>
          </w:p>
        </w:tc>
        <w:tc>
          <w:tcPr>
            <w:tcW w:w="7217" w:type="dxa"/>
            <w:shd w:val="clear" w:color="auto" w:fill="auto"/>
          </w:tcPr>
          <w:p w14:paraId="0482DE1A">
            <w:pPr>
              <w:pStyle w:val="178"/>
              <w:jc w:val="left"/>
              <w:rPr>
                <w:szCs w:val="21"/>
              </w:rPr>
            </w:pPr>
            <w:r>
              <w:rPr>
                <w:rFonts w:hint="eastAsia" w:hAnsi="宋体"/>
                <w:sz w:val="21"/>
                <w:szCs w:val="21"/>
              </w:rPr>
              <w:t>起草单位、起草人简介及承担的工作</w:t>
            </w:r>
          </w:p>
        </w:tc>
      </w:tr>
      <w:tr w14:paraId="3FE14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21BA4820">
            <w:pPr>
              <w:pStyle w:val="178"/>
              <w:rPr>
                <w:szCs w:val="21"/>
              </w:rPr>
            </w:pPr>
            <w:r>
              <w:rPr>
                <w:sz w:val="21"/>
                <w:szCs w:val="21"/>
              </w:rPr>
              <w:t>3</w:t>
            </w:r>
          </w:p>
        </w:tc>
        <w:tc>
          <w:tcPr>
            <w:tcW w:w="7217" w:type="dxa"/>
            <w:shd w:val="clear" w:color="auto" w:fill="auto"/>
          </w:tcPr>
          <w:p w14:paraId="3B82804C">
            <w:pPr>
              <w:pStyle w:val="178"/>
              <w:jc w:val="left"/>
              <w:rPr>
                <w:szCs w:val="21"/>
              </w:rPr>
            </w:pPr>
            <w:r>
              <w:rPr>
                <w:rFonts w:hint="eastAsia" w:hAnsi="宋体"/>
                <w:sz w:val="21"/>
                <w:szCs w:val="21"/>
              </w:rPr>
              <w:t>起草过程</w:t>
            </w:r>
          </w:p>
        </w:tc>
      </w:tr>
      <w:tr w14:paraId="5883C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13D5C31E">
            <w:pPr>
              <w:pStyle w:val="178"/>
              <w:rPr>
                <w:szCs w:val="21"/>
              </w:rPr>
            </w:pPr>
            <w:r>
              <w:rPr>
                <w:sz w:val="21"/>
                <w:szCs w:val="21"/>
              </w:rPr>
              <w:t>4</w:t>
            </w:r>
          </w:p>
        </w:tc>
        <w:tc>
          <w:tcPr>
            <w:tcW w:w="7217" w:type="dxa"/>
            <w:shd w:val="clear" w:color="auto" w:fill="auto"/>
          </w:tcPr>
          <w:p w14:paraId="638C277F">
            <w:pPr>
              <w:pStyle w:val="178"/>
              <w:jc w:val="left"/>
              <w:rPr>
                <w:szCs w:val="21"/>
              </w:rPr>
            </w:pPr>
            <w:r>
              <w:rPr>
                <w:rFonts w:hint="eastAsia" w:hAnsi="宋体"/>
                <w:sz w:val="21"/>
                <w:szCs w:val="21"/>
              </w:rPr>
              <w:t>标准编制的主要依据</w:t>
            </w:r>
          </w:p>
        </w:tc>
      </w:tr>
      <w:tr w14:paraId="48E20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75E6CD59">
            <w:pPr>
              <w:pStyle w:val="178"/>
              <w:rPr>
                <w:szCs w:val="21"/>
              </w:rPr>
            </w:pPr>
            <w:r>
              <w:rPr>
                <w:sz w:val="21"/>
                <w:szCs w:val="21"/>
              </w:rPr>
              <w:t>5</w:t>
            </w:r>
          </w:p>
        </w:tc>
        <w:tc>
          <w:tcPr>
            <w:tcW w:w="7217" w:type="dxa"/>
            <w:shd w:val="clear" w:color="auto" w:fill="auto"/>
          </w:tcPr>
          <w:p w14:paraId="1CFEE8E4">
            <w:pPr>
              <w:pStyle w:val="178"/>
              <w:jc w:val="left"/>
              <w:rPr>
                <w:szCs w:val="21"/>
              </w:rPr>
            </w:pPr>
            <w:r>
              <w:rPr>
                <w:rFonts w:hint="eastAsia" w:hAnsi="宋体"/>
                <w:sz w:val="21"/>
                <w:szCs w:val="21"/>
              </w:rPr>
              <w:t>与相关规范性文件的关系</w:t>
            </w:r>
          </w:p>
        </w:tc>
      </w:tr>
      <w:tr w14:paraId="75360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3305040F">
            <w:pPr>
              <w:pStyle w:val="178"/>
              <w:rPr>
                <w:szCs w:val="21"/>
              </w:rPr>
            </w:pPr>
            <w:r>
              <w:rPr>
                <w:sz w:val="21"/>
                <w:szCs w:val="21"/>
              </w:rPr>
              <w:t>6</w:t>
            </w:r>
          </w:p>
        </w:tc>
        <w:tc>
          <w:tcPr>
            <w:tcW w:w="7217" w:type="dxa"/>
            <w:shd w:val="clear" w:color="auto" w:fill="auto"/>
          </w:tcPr>
          <w:p w14:paraId="5207EDB3">
            <w:pPr>
              <w:pStyle w:val="178"/>
              <w:jc w:val="left"/>
              <w:rPr>
                <w:szCs w:val="21"/>
              </w:rPr>
            </w:pPr>
            <w:r>
              <w:rPr>
                <w:rFonts w:hint="eastAsia" w:hAnsi="宋体"/>
                <w:sz w:val="21"/>
                <w:szCs w:val="21"/>
              </w:rPr>
              <w:t>与国外相关规定和标准情况对比说明</w:t>
            </w:r>
          </w:p>
        </w:tc>
      </w:tr>
      <w:tr w14:paraId="2F6CF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0BD525FB">
            <w:pPr>
              <w:pStyle w:val="178"/>
              <w:rPr>
                <w:szCs w:val="21"/>
              </w:rPr>
            </w:pPr>
            <w:r>
              <w:rPr>
                <w:sz w:val="21"/>
                <w:szCs w:val="21"/>
              </w:rPr>
              <w:t>7</w:t>
            </w:r>
          </w:p>
        </w:tc>
        <w:tc>
          <w:tcPr>
            <w:tcW w:w="7217" w:type="dxa"/>
            <w:shd w:val="clear" w:color="auto" w:fill="auto"/>
          </w:tcPr>
          <w:p w14:paraId="3E6EFE24">
            <w:pPr>
              <w:pStyle w:val="178"/>
              <w:jc w:val="left"/>
              <w:rPr>
                <w:szCs w:val="21"/>
              </w:rPr>
            </w:pPr>
            <w:r>
              <w:rPr>
                <w:rFonts w:hint="eastAsia" w:hAnsi="宋体"/>
                <w:sz w:val="21"/>
                <w:szCs w:val="21"/>
              </w:rPr>
              <w:t>与现行国家标准、行业标准对比分析</w:t>
            </w:r>
          </w:p>
        </w:tc>
      </w:tr>
      <w:tr w14:paraId="0200E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56568393">
            <w:pPr>
              <w:pStyle w:val="178"/>
              <w:rPr>
                <w:szCs w:val="21"/>
              </w:rPr>
            </w:pPr>
            <w:r>
              <w:rPr>
                <w:sz w:val="21"/>
                <w:szCs w:val="21"/>
              </w:rPr>
              <w:t>8</w:t>
            </w:r>
          </w:p>
        </w:tc>
        <w:tc>
          <w:tcPr>
            <w:tcW w:w="7217" w:type="dxa"/>
            <w:shd w:val="clear" w:color="auto" w:fill="auto"/>
          </w:tcPr>
          <w:p w14:paraId="40B2FB7C">
            <w:pPr>
              <w:pStyle w:val="178"/>
              <w:jc w:val="left"/>
              <w:rPr>
                <w:szCs w:val="21"/>
              </w:rPr>
            </w:pPr>
            <w:r>
              <w:rPr>
                <w:rFonts w:hint="eastAsia" w:hAnsi="宋体"/>
                <w:sz w:val="21"/>
                <w:szCs w:val="21"/>
              </w:rPr>
              <w:t>主要技术内容的依据</w:t>
            </w:r>
          </w:p>
        </w:tc>
      </w:tr>
      <w:tr w14:paraId="5B7B8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1B72863A">
            <w:pPr>
              <w:pStyle w:val="178"/>
              <w:rPr>
                <w:szCs w:val="21"/>
              </w:rPr>
            </w:pPr>
            <w:r>
              <w:rPr>
                <w:sz w:val="21"/>
                <w:szCs w:val="21"/>
              </w:rPr>
              <w:t>9</w:t>
            </w:r>
          </w:p>
        </w:tc>
        <w:tc>
          <w:tcPr>
            <w:tcW w:w="7217" w:type="dxa"/>
            <w:shd w:val="clear" w:color="auto" w:fill="auto"/>
          </w:tcPr>
          <w:p w14:paraId="06C2B472">
            <w:pPr>
              <w:pStyle w:val="178"/>
              <w:jc w:val="left"/>
              <w:rPr>
                <w:szCs w:val="21"/>
              </w:rPr>
            </w:pPr>
            <w:r>
              <w:rPr>
                <w:rFonts w:hint="eastAsia" w:hAnsi="宋体"/>
                <w:sz w:val="21"/>
                <w:szCs w:val="21"/>
              </w:rPr>
              <w:t>征求意见和采纳情况</w:t>
            </w:r>
          </w:p>
        </w:tc>
      </w:tr>
      <w:tr w14:paraId="1C368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4268AB10">
            <w:pPr>
              <w:pStyle w:val="178"/>
              <w:rPr>
                <w:szCs w:val="21"/>
              </w:rPr>
            </w:pPr>
            <w:r>
              <w:rPr>
                <w:sz w:val="21"/>
                <w:szCs w:val="21"/>
              </w:rPr>
              <w:t>10</w:t>
            </w:r>
          </w:p>
        </w:tc>
        <w:tc>
          <w:tcPr>
            <w:tcW w:w="7217" w:type="dxa"/>
            <w:shd w:val="clear" w:color="auto" w:fill="auto"/>
          </w:tcPr>
          <w:p w14:paraId="0C1C04A6">
            <w:pPr>
              <w:pStyle w:val="178"/>
              <w:jc w:val="left"/>
              <w:rPr>
                <w:szCs w:val="21"/>
              </w:rPr>
            </w:pPr>
            <w:r>
              <w:rPr>
                <w:rFonts w:hint="eastAsia" w:hAnsi="宋体"/>
                <w:sz w:val="21"/>
                <w:szCs w:val="21"/>
              </w:rPr>
              <w:t>重大意见分歧的处理结果和依据</w:t>
            </w:r>
          </w:p>
        </w:tc>
      </w:tr>
      <w:tr w14:paraId="118DE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0AFB0714">
            <w:pPr>
              <w:pStyle w:val="178"/>
              <w:rPr>
                <w:szCs w:val="21"/>
              </w:rPr>
            </w:pPr>
            <w:r>
              <w:rPr>
                <w:sz w:val="21"/>
                <w:szCs w:val="21"/>
              </w:rPr>
              <w:t>11</w:t>
            </w:r>
          </w:p>
        </w:tc>
        <w:tc>
          <w:tcPr>
            <w:tcW w:w="7217" w:type="dxa"/>
            <w:shd w:val="clear" w:color="auto" w:fill="auto"/>
          </w:tcPr>
          <w:p w14:paraId="6C96A780">
            <w:pPr>
              <w:pStyle w:val="178"/>
              <w:jc w:val="left"/>
              <w:rPr>
                <w:szCs w:val="21"/>
              </w:rPr>
            </w:pPr>
            <w:r>
              <w:rPr>
                <w:rFonts w:hint="eastAsia" w:hAnsi="宋体"/>
                <w:sz w:val="21"/>
                <w:szCs w:val="21"/>
              </w:rPr>
              <w:t>实施标准的建议及复审周期</w:t>
            </w:r>
          </w:p>
        </w:tc>
      </w:tr>
      <w:tr w14:paraId="2B509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3ADEED56">
            <w:pPr>
              <w:pStyle w:val="178"/>
              <w:rPr>
                <w:sz w:val="21"/>
                <w:szCs w:val="21"/>
              </w:rPr>
            </w:pPr>
            <w:r>
              <w:rPr>
                <w:sz w:val="21"/>
                <w:szCs w:val="21"/>
              </w:rPr>
              <w:t>12</w:t>
            </w:r>
          </w:p>
        </w:tc>
        <w:tc>
          <w:tcPr>
            <w:tcW w:w="7217" w:type="dxa"/>
            <w:shd w:val="clear" w:color="auto" w:fill="auto"/>
          </w:tcPr>
          <w:p w14:paraId="3ECCC269">
            <w:pPr>
              <w:pStyle w:val="178"/>
              <w:jc w:val="left"/>
              <w:rPr>
                <w:sz w:val="21"/>
                <w:szCs w:val="21"/>
              </w:rPr>
            </w:pPr>
            <w:r>
              <w:rPr>
                <w:rFonts w:hint="eastAsia" w:hAnsi="宋体"/>
                <w:sz w:val="21"/>
                <w:szCs w:val="21"/>
              </w:rPr>
              <w:t>其他需要说明的事项</w:t>
            </w:r>
          </w:p>
        </w:tc>
      </w:tr>
    </w:tbl>
    <w:p w14:paraId="1B1221B7">
      <w:pPr>
        <w:pStyle w:val="56"/>
        <w:ind w:firstLine="420"/>
      </w:pPr>
    </w:p>
    <w:p w14:paraId="272E0765">
      <w:pPr>
        <w:pStyle w:val="56"/>
        <w:ind w:firstLine="420"/>
      </w:pPr>
    </w:p>
    <w:p w14:paraId="10843792">
      <w:pPr>
        <w:pStyle w:val="56"/>
        <w:ind w:firstLine="420"/>
        <w:sectPr>
          <w:pgSz w:w="11906" w:h="16838"/>
          <w:pgMar w:top="1928" w:right="1134" w:bottom="1134" w:left="1134" w:header="1418" w:footer="1134" w:gutter="284"/>
          <w:cols w:space="425" w:num="1"/>
          <w:formProt w:val="0"/>
          <w:docGrid w:linePitch="312" w:charSpace="0"/>
        </w:sectPr>
      </w:pPr>
    </w:p>
    <w:p w14:paraId="4D150F6B">
      <w:pPr>
        <w:pStyle w:val="198"/>
        <w:rPr>
          <w:vanish w:val="0"/>
        </w:rPr>
      </w:pPr>
    </w:p>
    <w:p w14:paraId="79B6A070">
      <w:pPr>
        <w:pStyle w:val="199"/>
        <w:rPr>
          <w:vanish w:val="0"/>
        </w:rPr>
      </w:pPr>
    </w:p>
    <w:p w14:paraId="2772B6C9">
      <w:pPr>
        <w:pStyle w:val="76"/>
        <w:spacing w:after="120"/>
        <w:ind w:left="0"/>
      </w:pPr>
      <w:r>
        <w:br w:type="textWrapping"/>
      </w:r>
      <w:r>
        <w:rPr>
          <w:rFonts w:hint="eastAsia"/>
        </w:rPr>
        <w:t>（资料性）</w:t>
      </w:r>
      <w:r>
        <w:br w:type="textWrapping"/>
      </w:r>
      <w:r>
        <w:rPr>
          <w:rFonts w:hint="eastAsia"/>
        </w:rPr>
        <w:t>团体标准征求意见及采纳情况汇总表</w:t>
      </w:r>
    </w:p>
    <w:p w14:paraId="5885906E">
      <w:pPr>
        <w:pStyle w:val="77"/>
        <w:numPr>
          <w:ilvl w:val="0"/>
          <w:numId w:val="0"/>
        </w:numPr>
        <w:spacing w:before="120" w:after="120"/>
      </w:pPr>
      <w:r>
        <w:rPr>
          <w:rFonts w:hint="eastAsia"/>
        </w:rPr>
        <w:t>表D.</w:t>
      </w:r>
      <w:r>
        <w:t xml:space="preserve">1 </w:t>
      </w:r>
      <w:r>
        <w:rPr>
          <w:rFonts w:hint="eastAsia"/>
        </w:rPr>
        <w:t>团体标准征求意见及采纳情况汇总表</w:t>
      </w:r>
    </w:p>
    <w:p w14:paraId="3F9A3A89">
      <w:pPr>
        <w:pStyle w:val="56"/>
        <w:ind w:firstLine="420"/>
      </w:pPr>
      <w:r>
        <w:rPr>
          <w:rFonts w:hint="eastAsia"/>
        </w:rPr>
        <w:t>标准名称：                  填写人：                联系电话：</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276"/>
        <w:gridCol w:w="1276"/>
        <w:gridCol w:w="1134"/>
        <w:gridCol w:w="1275"/>
        <w:gridCol w:w="1418"/>
        <w:gridCol w:w="2256"/>
      </w:tblGrid>
      <w:tr w14:paraId="52327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tblHeader/>
          <w:jc w:val="center"/>
        </w:trPr>
        <w:tc>
          <w:tcPr>
            <w:tcW w:w="699" w:type="dxa"/>
            <w:tcBorders>
              <w:top w:val="single" w:color="auto" w:sz="8" w:space="0"/>
              <w:bottom w:val="single" w:color="auto" w:sz="8" w:space="0"/>
            </w:tcBorders>
            <w:shd w:val="clear" w:color="auto" w:fill="auto"/>
            <w:vAlign w:val="center"/>
          </w:tcPr>
          <w:p w14:paraId="194F039A">
            <w:pPr>
              <w:pStyle w:val="178"/>
              <w:rPr>
                <w:sz w:val="21"/>
                <w:szCs w:val="21"/>
              </w:rPr>
            </w:pPr>
            <w:r>
              <w:rPr>
                <w:rFonts w:hint="eastAsia"/>
                <w:sz w:val="21"/>
                <w:szCs w:val="21"/>
              </w:rPr>
              <w:t>序号</w:t>
            </w:r>
          </w:p>
        </w:tc>
        <w:tc>
          <w:tcPr>
            <w:tcW w:w="1276" w:type="dxa"/>
            <w:tcBorders>
              <w:top w:val="single" w:color="auto" w:sz="8" w:space="0"/>
              <w:bottom w:val="single" w:color="auto" w:sz="8" w:space="0"/>
            </w:tcBorders>
            <w:shd w:val="clear" w:color="auto" w:fill="auto"/>
            <w:vAlign w:val="center"/>
          </w:tcPr>
          <w:p w14:paraId="595FC7AC">
            <w:pPr>
              <w:pStyle w:val="178"/>
              <w:rPr>
                <w:sz w:val="21"/>
                <w:szCs w:val="21"/>
              </w:rPr>
            </w:pPr>
            <w:r>
              <w:rPr>
                <w:rFonts w:hint="eastAsia"/>
                <w:sz w:val="21"/>
                <w:szCs w:val="21"/>
              </w:rPr>
              <w:t>标准章条编号</w:t>
            </w:r>
          </w:p>
        </w:tc>
        <w:tc>
          <w:tcPr>
            <w:tcW w:w="1276" w:type="dxa"/>
            <w:tcBorders>
              <w:top w:val="single" w:color="auto" w:sz="8" w:space="0"/>
              <w:bottom w:val="single" w:color="auto" w:sz="8" w:space="0"/>
            </w:tcBorders>
            <w:shd w:val="clear" w:color="auto" w:fill="auto"/>
            <w:vAlign w:val="center"/>
          </w:tcPr>
          <w:p w14:paraId="78830AC6">
            <w:pPr>
              <w:pStyle w:val="178"/>
              <w:rPr>
                <w:sz w:val="21"/>
                <w:szCs w:val="21"/>
              </w:rPr>
            </w:pPr>
            <w:r>
              <w:rPr>
                <w:rFonts w:hint="eastAsia"/>
                <w:sz w:val="21"/>
                <w:szCs w:val="21"/>
              </w:rPr>
              <w:t>提出单位</w:t>
            </w:r>
          </w:p>
        </w:tc>
        <w:tc>
          <w:tcPr>
            <w:tcW w:w="1134" w:type="dxa"/>
            <w:tcBorders>
              <w:top w:val="single" w:color="auto" w:sz="8" w:space="0"/>
              <w:bottom w:val="single" w:color="auto" w:sz="8" w:space="0"/>
            </w:tcBorders>
            <w:shd w:val="clear" w:color="auto" w:fill="auto"/>
            <w:vAlign w:val="center"/>
          </w:tcPr>
          <w:p w14:paraId="5CABFF0C">
            <w:pPr>
              <w:pStyle w:val="178"/>
              <w:rPr>
                <w:sz w:val="21"/>
                <w:szCs w:val="21"/>
              </w:rPr>
            </w:pPr>
            <w:r>
              <w:rPr>
                <w:rFonts w:hint="eastAsia"/>
                <w:sz w:val="21"/>
                <w:szCs w:val="21"/>
              </w:rPr>
              <w:t>姓名</w:t>
            </w:r>
          </w:p>
        </w:tc>
        <w:tc>
          <w:tcPr>
            <w:tcW w:w="1275" w:type="dxa"/>
            <w:tcBorders>
              <w:top w:val="single" w:color="auto" w:sz="8" w:space="0"/>
              <w:bottom w:val="single" w:color="auto" w:sz="8" w:space="0"/>
            </w:tcBorders>
            <w:shd w:val="clear" w:color="auto" w:fill="auto"/>
            <w:vAlign w:val="center"/>
          </w:tcPr>
          <w:p w14:paraId="2B77E117">
            <w:pPr>
              <w:pStyle w:val="178"/>
              <w:rPr>
                <w:sz w:val="21"/>
                <w:szCs w:val="21"/>
              </w:rPr>
            </w:pPr>
            <w:r>
              <w:rPr>
                <w:rFonts w:hint="eastAsia"/>
                <w:sz w:val="21"/>
                <w:szCs w:val="21"/>
              </w:rPr>
              <w:t>职称</w:t>
            </w:r>
          </w:p>
        </w:tc>
        <w:tc>
          <w:tcPr>
            <w:tcW w:w="1418" w:type="dxa"/>
            <w:tcBorders>
              <w:top w:val="single" w:color="auto" w:sz="8" w:space="0"/>
              <w:bottom w:val="single" w:color="auto" w:sz="8" w:space="0"/>
            </w:tcBorders>
            <w:shd w:val="clear" w:color="auto" w:fill="auto"/>
            <w:vAlign w:val="center"/>
          </w:tcPr>
          <w:p w14:paraId="46E18502">
            <w:pPr>
              <w:pStyle w:val="178"/>
              <w:rPr>
                <w:sz w:val="21"/>
                <w:szCs w:val="21"/>
              </w:rPr>
            </w:pPr>
            <w:r>
              <w:rPr>
                <w:rFonts w:hint="eastAsia"/>
                <w:sz w:val="21"/>
                <w:szCs w:val="21"/>
              </w:rPr>
              <w:t>意见及建议</w:t>
            </w:r>
          </w:p>
        </w:tc>
        <w:tc>
          <w:tcPr>
            <w:tcW w:w="2256" w:type="dxa"/>
            <w:tcBorders>
              <w:top w:val="single" w:color="auto" w:sz="8" w:space="0"/>
              <w:bottom w:val="single" w:color="auto" w:sz="8" w:space="0"/>
            </w:tcBorders>
            <w:shd w:val="clear" w:color="auto" w:fill="auto"/>
            <w:vAlign w:val="center"/>
          </w:tcPr>
          <w:p w14:paraId="615DAD79">
            <w:pPr>
              <w:pStyle w:val="178"/>
              <w:rPr>
                <w:sz w:val="21"/>
                <w:szCs w:val="21"/>
              </w:rPr>
            </w:pPr>
            <w:r>
              <w:rPr>
                <w:rFonts w:hint="eastAsia"/>
                <w:sz w:val="21"/>
                <w:szCs w:val="21"/>
              </w:rPr>
              <w:t>采纳与否及理由</w:t>
            </w:r>
          </w:p>
        </w:tc>
      </w:tr>
      <w:tr w14:paraId="2C34F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708C170D">
            <w:pPr>
              <w:pStyle w:val="178"/>
              <w:rPr>
                <w:sz w:val="21"/>
                <w:szCs w:val="21"/>
              </w:rPr>
            </w:pPr>
          </w:p>
        </w:tc>
        <w:tc>
          <w:tcPr>
            <w:tcW w:w="1276" w:type="dxa"/>
            <w:tcBorders>
              <w:top w:val="single" w:color="auto" w:sz="8" w:space="0"/>
            </w:tcBorders>
            <w:shd w:val="clear" w:color="auto" w:fill="auto"/>
            <w:vAlign w:val="center"/>
          </w:tcPr>
          <w:p w14:paraId="5BCAC2CE">
            <w:pPr>
              <w:pStyle w:val="178"/>
              <w:rPr>
                <w:sz w:val="21"/>
                <w:szCs w:val="21"/>
              </w:rPr>
            </w:pPr>
          </w:p>
        </w:tc>
        <w:tc>
          <w:tcPr>
            <w:tcW w:w="1276" w:type="dxa"/>
            <w:tcBorders>
              <w:top w:val="single" w:color="auto" w:sz="8" w:space="0"/>
            </w:tcBorders>
            <w:shd w:val="clear" w:color="auto" w:fill="auto"/>
            <w:vAlign w:val="center"/>
          </w:tcPr>
          <w:p w14:paraId="45D98C6E">
            <w:pPr>
              <w:pStyle w:val="178"/>
              <w:rPr>
                <w:sz w:val="21"/>
                <w:szCs w:val="21"/>
              </w:rPr>
            </w:pPr>
          </w:p>
        </w:tc>
        <w:tc>
          <w:tcPr>
            <w:tcW w:w="1134" w:type="dxa"/>
            <w:tcBorders>
              <w:top w:val="single" w:color="auto" w:sz="8" w:space="0"/>
            </w:tcBorders>
            <w:shd w:val="clear" w:color="auto" w:fill="auto"/>
            <w:vAlign w:val="center"/>
          </w:tcPr>
          <w:p w14:paraId="25BF160D">
            <w:pPr>
              <w:pStyle w:val="178"/>
              <w:rPr>
                <w:sz w:val="21"/>
                <w:szCs w:val="21"/>
              </w:rPr>
            </w:pPr>
          </w:p>
        </w:tc>
        <w:tc>
          <w:tcPr>
            <w:tcW w:w="1275" w:type="dxa"/>
            <w:tcBorders>
              <w:top w:val="single" w:color="auto" w:sz="8" w:space="0"/>
            </w:tcBorders>
            <w:shd w:val="clear" w:color="auto" w:fill="auto"/>
            <w:vAlign w:val="center"/>
          </w:tcPr>
          <w:p w14:paraId="4DE2F345">
            <w:pPr>
              <w:pStyle w:val="178"/>
              <w:rPr>
                <w:sz w:val="21"/>
                <w:szCs w:val="21"/>
              </w:rPr>
            </w:pPr>
          </w:p>
        </w:tc>
        <w:tc>
          <w:tcPr>
            <w:tcW w:w="1418" w:type="dxa"/>
            <w:tcBorders>
              <w:top w:val="single" w:color="auto" w:sz="8" w:space="0"/>
            </w:tcBorders>
            <w:shd w:val="clear" w:color="auto" w:fill="auto"/>
            <w:vAlign w:val="center"/>
          </w:tcPr>
          <w:p w14:paraId="59344DCE">
            <w:pPr>
              <w:pStyle w:val="178"/>
              <w:rPr>
                <w:sz w:val="21"/>
                <w:szCs w:val="21"/>
              </w:rPr>
            </w:pPr>
          </w:p>
        </w:tc>
        <w:tc>
          <w:tcPr>
            <w:tcW w:w="2256" w:type="dxa"/>
            <w:tcBorders>
              <w:top w:val="single" w:color="auto" w:sz="8" w:space="0"/>
            </w:tcBorders>
            <w:shd w:val="clear" w:color="auto" w:fill="auto"/>
            <w:vAlign w:val="center"/>
          </w:tcPr>
          <w:p w14:paraId="717057AE">
            <w:pPr>
              <w:pStyle w:val="178"/>
              <w:rPr>
                <w:sz w:val="21"/>
                <w:szCs w:val="21"/>
              </w:rPr>
            </w:pPr>
          </w:p>
        </w:tc>
      </w:tr>
      <w:tr w14:paraId="4DBC9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F4E4BD0">
            <w:pPr>
              <w:pStyle w:val="178"/>
              <w:rPr>
                <w:sz w:val="21"/>
                <w:szCs w:val="21"/>
              </w:rPr>
            </w:pPr>
          </w:p>
        </w:tc>
        <w:tc>
          <w:tcPr>
            <w:tcW w:w="1276" w:type="dxa"/>
            <w:shd w:val="clear" w:color="auto" w:fill="auto"/>
            <w:vAlign w:val="center"/>
          </w:tcPr>
          <w:p w14:paraId="1AB6B8EF">
            <w:pPr>
              <w:pStyle w:val="178"/>
              <w:rPr>
                <w:sz w:val="21"/>
                <w:szCs w:val="21"/>
              </w:rPr>
            </w:pPr>
          </w:p>
        </w:tc>
        <w:tc>
          <w:tcPr>
            <w:tcW w:w="1276" w:type="dxa"/>
            <w:shd w:val="clear" w:color="auto" w:fill="auto"/>
            <w:vAlign w:val="center"/>
          </w:tcPr>
          <w:p w14:paraId="4D4D159B">
            <w:pPr>
              <w:pStyle w:val="178"/>
              <w:rPr>
                <w:sz w:val="21"/>
                <w:szCs w:val="21"/>
              </w:rPr>
            </w:pPr>
          </w:p>
        </w:tc>
        <w:tc>
          <w:tcPr>
            <w:tcW w:w="1134" w:type="dxa"/>
            <w:shd w:val="clear" w:color="auto" w:fill="auto"/>
            <w:vAlign w:val="center"/>
          </w:tcPr>
          <w:p w14:paraId="3595492D">
            <w:pPr>
              <w:pStyle w:val="178"/>
              <w:rPr>
                <w:sz w:val="21"/>
                <w:szCs w:val="21"/>
              </w:rPr>
            </w:pPr>
          </w:p>
        </w:tc>
        <w:tc>
          <w:tcPr>
            <w:tcW w:w="1275" w:type="dxa"/>
            <w:shd w:val="clear" w:color="auto" w:fill="auto"/>
            <w:vAlign w:val="center"/>
          </w:tcPr>
          <w:p w14:paraId="253F4892">
            <w:pPr>
              <w:pStyle w:val="178"/>
              <w:rPr>
                <w:sz w:val="21"/>
                <w:szCs w:val="21"/>
              </w:rPr>
            </w:pPr>
          </w:p>
        </w:tc>
        <w:tc>
          <w:tcPr>
            <w:tcW w:w="1418" w:type="dxa"/>
            <w:shd w:val="clear" w:color="auto" w:fill="auto"/>
            <w:vAlign w:val="center"/>
          </w:tcPr>
          <w:p w14:paraId="3E627AF5">
            <w:pPr>
              <w:pStyle w:val="178"/>
              <w:rPr>
                <w:sz w:val="21"/>
                <w:szCs w:val="21"/>
              </w:rPr>
            </w:pPr>
          </w:p>
        </w:tc>
        <w:tc>
          <w:tcPr>
            <w:tcW w:w="2256" w:type="dxa"/>
            <w:shd w:val="clear" w:color="auto" w:fill="auto"/>
            <w:vAlign w:val="center"/>
          </w:tcPr>
          <w:p w14:paraId="5678D75F">
            <w:pPr>
              <w:pStyle w:val="178"/>
              <w:rPr>
                <w:sz w:val="21"/>
                <w:szCs w:val="21"/>
              </w:rPr>
            </w:pPr>
          </w:p>
        </w:tc>
      </w:tr>
      <w:tr w14:paraId="3036F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2B20A6B7">
            <w:pPr>
              <w:pStyle w:val="178"/>
              <w:rPr>
                <w:sz w:val="21"/>
                <w:szCs w:val="21"/>
              </w:rPr>
            </w:pPr>
          </w:p>
        </w:tc>
        <w:tc>
          <w:tcPr>
            <w:tcW w:w="1276" w:type="dxa"/>
            <w:shd w:val="clear" w:color="auto" w:fill="auto"/>
            <w:vAlign w:val="center"/>
          </w:tcPr>
          <w:p w14:paraId="6924DADA">
            <w:pPr>
              <w:pStyle w:val="178"/>
              <w:rPr>
                <w:sz w:val="21"/>
                <w:szCs w:val="21"/>
              </w:rPr>
            </w:pPr>
          </w:p>
        </w:tc>
        <w:tc>
          <w:tcPr>
            <w:tcW w:w="1276" w:type="dxa"/>
            <w:shd w:val="clear" w:color="auto" w:fill="auto"/>
            <w:vAlign w:val="center"/>
          </w:tcPr>
          <w:p w14:paraId="534C3F5E">
            <w:pPr>
              <w:pStyle w:val="178"/>
              <w:rPr>
                <w:sz w:val="21"/>
                <w:szCs w:val="21"/>
              </w:rPr>
            </w:pPr>
          </w:p>
        </w:tc>
        <w:tc>
          <w:tcPr>
            <w:tcW w:w="1134" w:type="dxa"/>
            <w:shd w:val="clear" w:color="auto" w:fill="auto"/>
            <w:vAlign w:val="center"/>
          </w:tcPr>
          <w:p w14:paraId="1B872EF9">
            <w:pPr>
              <w:pStyle w:val="178"/>
              <w:rPr>
                <w:sz w:val="21"/>
                <w:szCs w:val="21"/>
              </w:rPr>
            </w:pPr>
          </w:p>
        </w:tc>
        <w:tc>
          <w:tcPr>
            <w:tcW w:w="1275" w:type="dxa"/>
            <w:shd w:val="clear" w:color="auto" w:fill="auto"/>
            <w:vAlign w:val="center"/>
          </w:tcPr>
          <w:p w14:paraId="2226CCF0">
            <w:pPr>
              <w:pStyle w:val="178"/>
              <w:rPr>
                <w:sz w:val="21"/>
                <w:szCs w:val="21"/>
              </w:rPr>
            </w:pPr>
          </w:p>
        </w:tc>
        <w:tc>
          <w:tcPr>
            <w:tcW w:w="1418" w:type="dxa"/>
            <w:shd w:val="clear" w:color="auto" w:fill="auto"/>
            <w:vAlign w:val="center"/>
          </w:tcPr>
          <w:p w14:paraId="103D2F27">
            <w:pPr>
              <w:pStyle w:val="178"/>
              <w:rPr>
                <w:sz w:val="21"/>
                <w:szCs w:val="21"/>
              </w:rPr>
            </w:pPr>
          </w:p>
        </w:tc>
        <w:tc>
          <w:tcPr>
            <w:tcW w:w="2256" w:type="dxa"/>
            <w:shd w:val="clear" w:color="auto" w:fill="auto"/>
            <w:vAlign w:val="center"/>
          </w:tcPr>
          <w:p w14:paraId="57CF6C9D">
            <w:pPr>
              <w:pStyle w:val="178"/>
              <w:rPr>
                <w:sz w:val="21"/>
                <w:szCs w:val="21"/>
              </w:rPr>
            </w:pPr>
          </w:p>
        </w:tc>
      </w:tr>
      <w:tr w14:paraId="69A23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4BCAA58">
            <w:pPr>
              <w:pStyle w:val="178"/>
              <w:rPr>
                <w:sz w:val="21"/>
                <w:szCs w:val="21"/>
              </w:rPr>
            </w:pPr>
          </w:p>
        </w:tc>
        <w:tc>
          <w:tcPr>
            <w:tcW w:w="1276" w:type="dxa"/>
            <w:shd w:val="clear" w:color="auto" w:fill="auto"/>
            <w:vAlign w:val="center"/>
          </w:tcPr>
          <w:p w14:paraId="22565425">
            <w:pPr>
              <w:pStyle w:val="178"/>
              <w:rPr>
                <w:sz w:val="21"/>
                <w:szCs w:val="21"/>
              </w:rPr>
            </w:pPr>
          </w:p>
        </w:tc>
        <w:tc>
          <w:tcPr>
            <w:tcW w:w="1276" w:type="dxa"/>
            <w:shd w:val="clear" w:color="auto" w:fill="auto"/>
            <w:vAlign w:val="center"/>
          </w:tcPr>
          <w:p w14:paraId="1C03D589">
            <w:pPr>
              <w:pStyle w:val="178"/>
              <w:rPr>
                <w:sz w:val="21"/>
                <w:szCs w:val="21"/>
              </w:rPr>
            </w:pPr>
          </w:p>
        </w:tc>
        <w:tc>
          <w:tcPr>
            <w:tcW w:w="1134" w:type="dxa"/>
            <w:shd w:val="clear" w:color="auto" w:fill="auto"/>
            <w:vAlign w:val="center"/>
          </w:tcPr>
          <w:p w14:paraId="39F9D5CF">
            <w:pPr>
              <w:pStyle w:val="178"/>
              <w:rPr>
                <w:sz w:val="21"/>
                <w:szCs w:val="21"/>
              </w:rPr>
            </w:pPr>
          </w:p>
        </w:tc>
        <w:tc>
          <w:tcPr>
            <w:tcW w:w="1275" w:type="dxa"/>
            <w:shd w:val="clear" w:color="auto" w:fill="auto"/>
            <w:vAlign w:val="center"/>
          </w:tcPr>
          <w:p w14:paraId="3C2D740C">
            <w:pPr>
              <w:pStyle w:val="178"/>
              <w:rPr>
                <w:sz w:val="21"/>
                <w:szCs w:val="21"/>
              </w:rPr>
            </w:pPr>
          </w:p>
        </w:tc>
        <w:tc>
          <w:tcPr>
            <w:tcW w:w="1418" w:type="dxa"/>
            <w:shd w:val="clear" w:color="auto" w:fill="auto"/>
            <w:vAlign w:val="center"/>
          </w:tcPr>
          <w:p w14:paraId="04E627BB">
            <w:pPr>
              <w:pStyle w:val="178"/>
              <w:rPr>
                <w:sz w:val="21"/>
                <w:szCs w:val="21"/>
              </w:rPr>
            </w:pPr>
          </w:p>
        </w:tc>
        <w:tc>
          <w:tcPr>
            <w:tcW w:w="2256" w:type="dxa"/>
            <w:shd w:val="clear" w:color="auto" w:fill="auto"/>
            <w:vAlign w:val="center"/>
          </w:tcPr>
          <w:p w14:paraId="3F0CFC1C">
            <w:pPr>
              <w:pStyle w:val="178"/>
              <w:rPr>
                <w:sz w:val="21"/>
                <w:szCs w:val="21"/>
              </w:rPr>
            </w:pPr>
          </w:p>
        </w:tc>
      </w:tr>
      <w:tr w14:paraId="3C8A1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54BC319">
            <w:pPr>
              <w:pStyle w:val="178"/>
              <w:rPr>
                <w:sz w:val="21"/>
                <w:szCs w:val="21"/>
              </w:rPr>
            </w:pPr>
          </w:p>
        </w:tc>
        <w:tc>
          <w:tcPr>
            <w:tcW w:w="1276" w:type="dxa"/>
            <w:shd w:val="clear" w:color="auto" w:fill="auto"/>
            <w:vAlign w:val="center"/>
          </w:tcPr>
          <w:p w14:paraId="0F812A10">
            <w:pPr>
              <w:pStyle w:val="178"/>
              <w:rPr>
                <w:sz w:val="21"/>
                <w:szCs w:val="21"/>
              </w:rPr>
            </w:pPr>
          </w:p>
        </w:tc>
        <w:tc>
          <w:tcPr>
            <w:tcW w:w="1276" w:type="dxa"/>
            <w:shd w:val="clear" w:color="auto" w:fill="auto"/>
            <w:vAlign w:val="center"/>
          </w:tcPr>
          <w:p w14:paraId="491F3ACD">
            <w:pPr>
              <w:pStyle w:val="178"/>
              <w:rPr>
                <w:sz w:val="21"/>
                <w:szCs w:val="21"/>
              </w:rPr>
            </w:pPr>
          </w:p>
        </w:tc>
        <w:tc>
          <w:tcPr>
            <w:tcW w:w="1134" w:type="dxa"/>
            <w:shd w:val="clear" w:color="auto" w:fill="auto"/>
            <w:vAlign w:val="center"/>
          </w:tcPr>
          <w:p w14:paraId="0E43D05E">
            <w:pPr>
              <w:pStyle w:val="178"/>
              <w:rPr>
                <w:sz w:val="21"/>
                <w:szCs w:val="21"/>
              </w:rPr>
            </w:pPr>
          </w:p>
        </w:tc>
        <w:tc>
          <w:tcPr>
            <w:tcW w:w="1275" w:type="dxa"/>
            <w:shd w:val="clear" w:color="auto" w:fill="auto"/>
            <w:vAlign w:val="center"/>
          </w:tcPr>
          <w:p w14:paraId="241DD24B">
            <w:pPr>
              <w:pStyle w:val="178"/>
              <w:rPr>
                <w:sz w:val="21"/>
                <w:szCs w:val="21"/>
              </w:rPr>
            </w:pPr>
          </w:p>
        </w:tc>
        <w:tc>
          <w:tcPr>
            <w:tcW w:w="1418" w:type="dxa"/>
            <w:shd w:val="clear" w:color="auto" w:fill="auto"/>
            <w:vAlign w:val="center"/>
          </w:tcPr>
          <w:p w14:paraId="70F23355">
            <w:pPr>
              <w:pStyle w:val="178"/>
              <w:rPr>
                <w:sz w:val="21"/>
                <w:szCs w:val="21"/>
              </w:rPr>
            </w:pPr>
          </w:p>
        </w:tc>
        <w:tc>
          <w:tcPr>
            <w:tcW w:w="2256" w:type="dxa"/>
            <w:shd w:val="clear" w:color="auto" w:fill="auto"/>
            <w:vAlign w:val="center"/>
          </w:tcPr>
          <w:p w14:paraId="47ABF372">
            <w:pPr>
              <w:pStyle w:val="178"/>
              <w:rPr>
                <w:sz w:val="21"/>
                <w:szCs w:val="21"/>
              </w:rPr>
            </w:pPr>
          </w:p>
        </w:tc>
      </w:tr>
      <w:tr w14:paraId="5FAC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9191BC1">
            <w:pPr>
              <w:pStyle w:val="178"/>
              <w:rPr>
                <w:sz w:val="21"/>
                <w:szCs w:val="21"/>
              </w:rPr>
            </w:pPr>
          </w:p>
        </w:tc>
        <w:tc>
          <w:tcPr>
            <w:tcW w:w="1276" w:type="dxa"/>
            <w:shd w:val="clear" w:color="auto" w:fill="auto"/>
            <w:vAlign w:val="center"/>
          </w:tcPr>
          <w:p w14:paraId="6027F5DD">
            <w:pPr>
              <w:pStyle w:val="178"/>
              <w:rPr>
                <w:sz w:val="21"/>
                <w:szCs w:val="21"/>
              </w:rPr>
            </w:pPr>
          </w:p>
        </w:tc>
        <w:tc>
          <w:tcPr>
            <w:tcW w:w="1276" w:type="dxa"/>
            <w:shd w:val="clear" w:color="auto" w:fill="auto"/>
            <w:vAlign w:val="center"/>
          </w:tcPr>
          <w:p w14:paraId="7CB7C065">
            <w:pPr>
              <w:pStyle w:val="178"/>
              <w:rPr>
                <w:sz w:val="21"/>
                <w:szCs w:val="21"/>
              </w:rPr>
            </w:pPr>
          </w:p>
        </w:tc>
        <w:tc>
          <w:tcPr>
            <w:tcW w:w="1134" w:type="dxa"/>
            <w:shd w:val="clear" w:color="auto" w:fill="auto"/>
            <w:vAlign w:val="center"/>
          </w:tcPr>
          <w:p w14:paraId="34B2F06D">
            <w:pPr>
              <w:pStyle w:val="178"/>
              <w:rPr>
                <w:sz w:val="21"/>
                <w:szCs w:val="21"/>
              </w:rPr>
            </w:pPr>
          </w:p>
        </w:tc>
        <w:tc>
          <w:tcPr>
            <w:tcW w:w="1275" w:type="dxa"/>
            <w:shd w:val="clear" w:color="auto" w:fill="auto"/>
            <w:vAlign w:val="center"/>
          </w:tcPr>
          <w:p w14:paraId="56405754">
            <w:pPr>
              <w:pStyle w:val="178"/>
              <w:rPr>
                <w:sz w:val="21"/>
                <w:szCs w:val="21"/>
              </w:rPr>
            </w:pPr>
          </w:p>
        </w:tc>
        <w:tc>
          <w:tcPr>
            <w:tcW w:w="1418" w:type="dxa"/>
            <w:shd w:val="clear" w:color="auto" w:fill="auto"/>
            <w:vAlign w:val="center"/>
          </w:tcPr>
          <w:p w14:paraId="10DF0CFC">
            <w:pPr>
              <w:pStyle w:val="178"/>
              <w:rPr>
                <w:sz w:val="21"/>
                <w:szCs w:val="21"/>
              </w:rPr>
            </w:pPr>
          </w:p>
        </w:tc>
        <w:tc>
          <w:tcPr>
            <w:tcW w:w="2256" w:type="dxa"/>
            <w:shd w:val="clear" w:color="auto" w:fill="auto"/>
            <w:vAlign w:val="center"/>
          </w:tcPr>
          <w:p w14:paraId="768FFD1E">
            <w:pPr>
              <w:pStyle w:val="178"/>
              <w:rPr>
                <w:sz w:val="21"/>
                <w:szCs w:val="21"/>
              </w:rPr>
            </w:pPr>
          </w:p>
        </w:tc>
      </w:tr>
    </w:tbl>
    <w:p w14:paraId="4F61BA14">
      <w:pPr>
        <w:pStyle w:val="56"/>
        <w:ind w:firstLine="420"/>
        <w:sectPr>
          <w:pgSz w:w="11906" w:h="16838"/>
          <w:pgMar w:top="1928" w:right="1134" w:bottom="1134" w:left="1134" w:header="1418" w:footer="1134" w:gutter="284"/>
          <w:cols w:space="425" w:num="1"/>
          <w:formProt w:val="0"/>
          <w:docGrid w:linePitch="312" w:charSpace="0"/>
        </w:sectPr>
      </w:pPr>
    </w:p>
    <w:p w14:paraId="525FB086">
      <w:pPr>
        <w:pStyle w:val="198"/>
        <w:rPr>
          <w:vanish w:val="0"/>
        </w:rPr>
      </w:pPr>
    </w:p>
    <w:p w14:paraId="6FD06639">
      <w:pPr>
        <w:pStyle w:val="199"/>
        <w:rPr>
          <w:vanish w:val="0"/>
        </w:rPr>
      </w:pPr>
    </w:p>
    <w:p w14:paraId="77036222">
      <w:pPr>
        <w:pStyle w:val="76"/>
        <w:spacing w:after="120"/>
      </w:pPr>
      <w:r>
        <w:br w:type="textWrapping"/>
      </w:r>
      <w:r>
        <w:rPr>
          <w:rFonts w:hint="eastAsia"/>
        </w:rPr>
        <w:t>（资料性）</w:t>
      </w:r>
      <w:r>
        <w:br w:type="textWrapping"/>
      </w:r>
      <w:r>
        <w:rPr>
          <w:rFonts w:hint="eastAsia"/>
        </w:rPr>
        <w:t>团体标准实施情况报告编写指南</w:t>
      </w:r>
    </w:p>
    <w:p w14:paraId="0CDCA089">
      <w:pPr>
        <w:pStyle w:val="56"/>
        <w:ind w:firstLine="420"/>
      </w:pPr>
      <w:r>
        <w:rPr>
          <w:rFonts w:hint="eastAsia"/>
        </w:rPr>
        <w:t>团体标准实施情况报告应包括以下内容：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7217"/>
      </w:tblGrid>
      <w:tr w14:paraId="240DD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17" w:type="dxa"/>
            <w:tcBorders>
              <w:top w:val="single" w:color="auto" w:sz="8" w:space="0"/>
              <w:bottom w:val="single" w:color="auto" w:sz="8" w:space="0"/>
            </w:tcBorders>
            <w:shd w:val="clear" w:color="auto" w:fill="auto"/>
            <w:vAlign w:val="center"/>
          </w:tcPr>
          <w:p w14:paraId="374BBDE4">
            <w:pPr>
              <w:pStyle w:val="178"/>
              <w:rPr>
                <w:sz w:val="21"/>
                <w:szCs w:val="21"/>
              </w:rPr>
            </w:pPr>
            <w:r>
              <w:rPr>
                <w:rFonts w:hint="eastAsia"/>
                <w:sz w:val="21"/>
                <w:szCs w:val="21"/>
              </w:rPr>
              <w:t>序号</w:t>
            </w:r>
          </w:p>
        </w:tc>
        <w:tc>
          <w:tcPr>
            <w:tcW w:w="7217" w:type="dxa"/>
            <w:tcBorders>
              <w:top w:val="single" w:color="auto" w:sz="8" w:space="0"/>
              <w:bottom w:val="single" w:color="auto" w:sz="8" w:space="0"/>
            </w:tcBorders>
            <w:shd w:val="clear" w:color="auto" w:fill="auto"/>
            <w:vAlign w:val="center"/>
          </w:tcPr>
          <w:p w14:paraId="10D6CC39">
            <w:pPr>
              <w:pStyle w:val="178"/>
              <w:rPr>
                <w:sz w:val="21"/>
                <w:szCs w:val="21"/>
              </w:rPr>
            </w:pPr>
            <w:r>
              <w:rPr>
                <w:rFonts w:hint="eastAsia"/>
                <w:sz w:val="21"/>
                <w:szCs w:val="21"/>
              </w:rPr>
              <w:t>内容</w:t>
            </w:r>
          </w:p>
        </w:tc>
      </w:tr>
      <w:tr w14:paraId="63BE9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14:paraId="1A1C3257">
            <w:pPr>
              <w:pStyle w:val="178"/>
              <w:rPr>
                <w:sz w:val="21"/>
                <w:szCs w:val="21"/>
              </w:rPr>
            </w:pPr>
            <w:r>
              <w:rPr>
                <w:sz w:val="21"/>
                <w:szCs w:val="21"/>
              </w:rPr>
              <w:t>1</w:t>
            </w:r>
          </w:p>
        </w:tc>
        <w:tc>
          <w:tcPr>
            <w:tcW w:w="7217" w:type="dxa"/>
            <w:tcBorders>
              <w:top w:val="single" w:color="auto" w:sz="8" w:space="0"/>
            </w:tcBorders>
            <w:shd w:val="clear" w:color="auto" w:fill="auto"/>
          </w:tcPr>
          <w:p w14:paraId="1B490DD6">
            <w:pPr>
              <w:pStyle w:val="178"/>
              <w:jc w:val="left"/>
              <w:rPr>
                <w:sz w:val="21"/>
                <w:szCs w:val="21"/>
              </w:rPr>
            </w:pPr>
            <w:r>
              <w:rPr>
                <w:rFonts w:hint="eastAsia" w:hAnsi="宋体"/>
                <w:sz w:val="21"/>
                <w:szCs w:val="21"/>
              </w:rPr>
              <w:t>标准的推广应用及采信应用情况</w:t>
            </w:r>
          </w:p>
        </w:tc>
      </w:tr>
      <w:tr w14:paraId="0488A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6017A52E">
            <w:pPr>
              <w:pStyle w:val="178"/>
              <w:rPr>
                <w:sz w:val="21"/>
                <w:szCs w:val="21"/>
              </w:rPr>
            </w:pPr>
            <w:r>
              <w:rPr>
                <w:sz w:val="21"/>
                <w:szCs w:val="21"/>
              </w:rPr>
              <w:t>2</w:t>
            </w:r>
          </w:p>
        </w:tc>
        <w:tc>
          <w:tcPr>
            <w:tcW w:w="7217" w:type="dxa"/>
            <w:shd w:val="clear" w:color="auto" w:fill="auto"/>
          </w:tcPr>
          <w:p w14:paraId="5EB66D10">
            <w:pPr>
              <w:pStyle w:val="178"/>
              <w:jc w:val="left"/>
              <w:rPr>
                <w:sz w:val="21"/>
                <w:szCs w:val="21"/>
              </w:rPr>
            </w:pPr>
            <w:r>
              <w:rPr>
                <w:rFonts w:hint="eastAsia" w:hAnsi="宋体"/>
                <w:sz w:val="21"/>
                <w:szCs w:val="21"/>
              </w:rPr>
              <w:t>标准的宣贯情况</w:t>
            </w:r>
          </w:p>
        </w:tc>
      </w:tr>
      <w:tr w14:paraId="42967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41090584">
            <w:pPr>
              <w:pStyle w:val="178"/>
              <w:rPr>
                <w:sz w:val="21"/>
                <w:szCs w:val="21"/>
              </w:rPr>
            </w:pPr>
            <w:r>
              <w:rPr>
                <w:sz w:val="21"/>
                <w:szCs w:val="21"/>
              </w:rPr>
              <w:t>3</w:t>
            </w:r>
          </w:p>
        </w:tc>
        <w:tc>
          <w:tcPr>
            <w:tcW w:w="7217" w:type="dxa"/>
            <w:shd w:val="clear" w:color="auto" w:fill="auto"/>
          </w:tcPr>
          <w:p w14:paraId="4EBC808E">
            <w:pPr>
              <w:pStyle w:val="178"/>
              <w:jc w:val="left"/>
              <w:rPr>
                <w:sz w:val="21"/>
                <w:szCs w:val="21"/>
              </w:rPr>
            </w:pPr>
            <w:r>
              <w:rPr>
                <w:rFonts w:hint="eastAsia" w:hAnsi="宋体"/>
                <w:sz w:val="21"/>
                <w:szCs w:val="21"/>
              </w:rPr>
              <w:t>标准的实施效果，产生的社会效益、经济效益或生态效益等</w:t>
            </w:r>
          </w:p>
        </w:tc>
      </w:tr>
      <w:tr w14:paraId="47CC3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2C92D4A8">
            <w:pPr>
              <w:pStyle w:val="178"/>
              <w:rPr>
                <w:sz w:val="21"/>
                <w:szCs w:val="21"/>
              </w:rPr>
            </w:pPr>
            <w:r>
              <w:rPr>
                <w:sz w:val="21"/>
                <w:szCs w:val="21"/>
              </w:rPr>
              <w:t>4</w:t>
            </w:r>
          </w:p>
        </w:tc>
        <w:tc>
          <w:tcPr>
            <w:tcW w:w="7217" w:type="dxa"/>
            <w:shd w:val="clear" w:color="auto" w:fill="auto"/>
          </w:tcPr>
          <w:p w14:paraId="475D1947">
            <w:pPr>
              <w:pStyle w:val="178"/>
              <w:jc w:val="left"/>
              <w:rPr>
                <w:sz w:val="21"/>
                <w:szCs w:val="21"/>
              </w:rPr>
            </w:pPr>
            <w:r>
              <w:rPr>
                <w:rFonts w:hint="eastAsia" w:hAnsi="宋体"/>
                <w:sz w:val="21"/>
                <w:szCs w:val="21"/>
              </w:rPr>
              <w:t>存在的问题及改进建议</w:t>
            </w:r>
          </w:p>
        </w:tc>
      </w:tr>
      <w:tr w14:paraId="3B329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4614C706">
            <w:pPr>
              <w:pStyle w:val="178"/>
              <w:rPr>
                <w:sz w:val="21"/>
                <w:szCs w:val="21"/>
              </w:rPr>
            </w:pPr>
            <w:r>
              <w:rPr>
                <w:sz w:val="21"/>
                <w:szCs w:val="21"/>
              </w:rPr>
              <w:t>5</w:t>
            </w:r>
          </w:p>
        </w:tc>
        <w:tc>
          <w:tcPr>
            <w:tcW w:w="7217" w:type="dxa"/>
            <w:shd w:val="clear" w:color="auto" w:fill="auto"/>
          </w:tcPr>
          <w:p w14:paraId="37E04E7C">
            <w:pPr>
              <w:pStyle w:val="178"/>
              <w:jc w:val="left"/>
              <w:rPr>
                <w:sz w:val="21"/>
                <w:szCs w:val="21"/>
              </w:rPr>
            </w:pPr>
            <w:r>
              <w:rPr>
                <w:rFonts w:hint="eastAsia" w:hAnsi="宋体"/>
                <w:sz w:val="21"/>
                <w:szCs w:val="21"/>
              </w:rPr>
              <w:t>其他需要说明的事项</w:t>
            </w:r>
          </w:p>
        </w:tc>
      </w:tr>
      <w:bookmarkEnd w:id="44"/>
    </w:tbl>
    <w:p w14:paraId="55F8A505">
      <w:pPr>
        <w:pStyle w:val="56"/>
        <w:ind w:firstLine="420"/>
        <w:sectPr>
          <w:pgSz w:w="11906" w:h="16838"/>
          <w:pgMar w:top="1928" w:right="1134" w:bottom="1134" w:left="1134" w:header="1418" w:footer="1134" w:gutter="284"/>
          <w:cols w:space="425" w:num="1"/>
          <w:formProt w:val="0"/>
          <w:docGrid w:linePitch="312" w:charSpace="0"/>
        </w:sectPr>
      </w:pPr>
      <w:bookmarkStart w:id="45" w:name="BookMark6"/>
    </w:p>
    <w:p w14:paraId="0089AC9A">
      <w:pPr>
        <w:pStyle w:val="63"/>
        <w:spacing w:after="120"/>
      </w:pPr>
      <w:r>
        <w:rPr>
          <w:rFonts w:hint="eastAsia"/>
          <w:spacing w:val="105"/>
        </w:rPr>
        <w:t>参考文</w:t>
      </w:r>
      <w:r>
        <w:rPr>
          <w:rFonts w:hint="eastAsia"/>
        </w:rPr>
        <w:t>献</w:t>
      </w:r>
    </w:p>
    <w:p w14:paraId="547B0F76">
      <w:pPr>
        <w:pStyle w:val="56"/>
        <w:ind w:firstLine="420"/>
      </w:pPr>
      <w:r>
        <w:rPr>
          <w:rFonts w:hint="eastAsia"/>
        </w:rPr>
        <w:t>[</w:t>
      </w:r>
      <w:r>
        <w:t>1</w:t>
      </w:r>
      <w:r>
        <w:rPr>
          <w:rFonts w:hint="eastAsia"/>
        </w:rPr>
        <w:t>]　GB/T 20004.1—2016 团体标准化 第1部分：良好行为指南.</w:t>
      </w:r>
    </w:p>
    <w:p w14:paraId="7FFF3CF1">
      <w:pPr>
        <w:pStyle w:val="56"/>
        <w:ind w:firstLine="420"/>
      </w:pPr>
      <w:r>
        <w:rPr>
          <w:rFonts w:hint="eastAsia"/>
        </w:rPr>
        <w:t>[</w:t>
      </w:r>
      <w:r>
        <w:t>2</w:t>
      </w:r>
      <w:r>
        <w:rPr>
          <w:rFonts w:hint="eastAsia"/>
        </w:rPr>
        <w:t>]　GB/T 20004.2—2018 团体标准化 第2部分：良好行为评估指南.</w:t>
      </w:r>
    </w:p>
    <w:p w14:paraId="37D1C185">
      <w:pPr>
        <w:pStyle w:val="56"/>
        <w:ind w:firstLine="420"/>
      </w:pPr>
      <w:r>
        <w:rPr>
          <w:rFonts w:hint="eastAsia"/>
        </w:rPr>
        <w:t>[</w:t>
      </w:r>
      <w:r>
        <w:t>3</w:t>
      </w:r>
      <w:r>
        <w:rPr>
          <w:rFonts w:hint="eastAsia"/>
        </w:rPr>
        <w:t>]　GB/T 1.1—2020 标准化工作导则 第1部分：标准化文件的结构和起草规则.</w:t>
      </w:r>
    </w:p>
    <w:p w14:paraId="535F03C0">
      <w:pPr>
        <w:pStyle w:val="56"/>
        <w:ind w:firstLine="420"/>
      </w:pPr>
      <w:r>
        <w:rPr>
          <w:rFonts w:hint="eastAsia"/>
        </w:rPr>
        <w:t>[</w:t>
      </w:r>
      <w:r>
        <w:t>4</w:t>
      </w:r>
      <w:r>
        <w:rPr>
          <w:rFonts w:hint="eastAsia"/>
        </w:rPr>
        <w:t xml:space="preserve">]　DB11/T </w:t>
      </w:r>
      <w:r>
        <w:t>2020</w:t>
      </w:r>
      <w:r>
        <w:rPr>
          <w:rFonts w:hint="eastAsia"/>
        </w:rPr>
        <w:t>—20</w:t>
      </w:r>
      <w:r>
        <w:t>22</w:t>
      </w:r>
      <w:r>
        <w:rPr>
          <w:rFonts w:hint="eastAsia"/>
        </w:rPr>
        <w:t xml:space="preserve"> 高质量团体标准评估规范.</w:t>
      </w:r>
    </w:p>
    <w:p w14:paraId="5CB9C6B0">
      <w:pPr>
        <w:pStyle w:val="56"/>
        <w:ind w:firstLine="420"/>
      </w:pPr>
      <w:r>
        <w:rPr>
          <w:rFonts w:hint="eastAsia"/>
        </w:rPr>
        <w:t>[</w:t>
      </w:r>
      <w:r>
        <w:t>5</w:t>
      </w:r>
      <w:r>
        <w:rPr>
          <w:rFonts w:hint="eastAsia"/>
        </w:rPr>
        <w:t>]　《中华人民共和国标准化法》（主席令第78号）</w:t>
      </w:r>
      <w:r>
        <w:t>.</w:t>
      </w:r>
    </w:p>
    <w:p w14:paraId="442C0892">
      <w:pPr>
        <w:pStyle w:val="56"/>
        <w:ind w:firstLine="420"/>
      </w:pPr>
      <w:r>
        <w:rPr>
          <w:rFonts w:hint="eastAsia"/>
        </w:rPr>
        <w:t>[</w:t>
      </w:r>
      <w:r>
        <w:t>6</w:t>
      </w:r>
      <w:r>
        <w:rPr>
          <w:rFonts w:hint="eastAsia"/>
        </w:rPr>
        <w:t>]　《行业标准管理办法》（国家市场监督管理总局令第86号）</w:t>
      </w:r>
      <w:r>
        <w:t>.</w:t>
      </w:r>
    </w:p>
    <w:p w14:paraId="79C2CD1E">
      <w:pPr>
        <w:pStyle w:val="56"/>
        <w:ind w:firstLine="420"/>
      </w:pPr>
      <w:r>
        <w:rPr>
          <w:rFonts w:hint="eastAsia"/>
        </w:rPr>
        <w:t>[</w:t>
      </w:r>
      <w:r>
        <w:t>7</w:t>
      </w:r>
      <w:r>
        <w:rPr>
          <w:rFonts w:hint="eastAsia"/>
        </w:rPr>
        <w:t>]　《团体标准管理规定》（国标委联〔2019〕1号）</w:t>
      </w:r>
      <w:r>
        <w:t>.</w:t>
      </w:r>
    </w:p>
    <w:p w14:paraId="08D58ADA">
      <w:pPr>
        <w:pStyle w:val="56"/>
        <w:ind w:firstLine="420"/>
      </w:pPr>
      <w:r>
        <w:rPr>
          <w:rFonts w:hint="eastAsia"/>
        </w:rPr>
        <w:t>[</w:t>
      </w:r>
      <w:r>
        <w:t>8</w:t>
      </w:r>
      <w:r>
        <w:rPr>
          <w:rFonts w:hint="eastAsia"/>
        </w:rPr>
        <w:t>]　《卫生健康标准起草和审查管理规定》（国卫健标委函〔2019〕1号）</w:t>
      </w:r>
      <w:r>
        <w:t>.</w:t>
      </w:r>
    </w:p>
    <w:p w14:paraId="7C43F6BA">
      <w:pPr>
        <w:pStyle w:val="56"/>
        <w:ind w:firstLine="420"/>
      </w:pPr>
      <w:r>
        <w:rPr>
          <w:rFonts w:hint="eastAsia"/>
        </w:rPr>
        <w:t>[</w:t>
      </w:r>
      <w:r>
        <w:t>9</w:t>
      </w:r>
      <w:r>
        <w:rPr>
          <w:rFonts w:hint="eastAsia"/>
        </w:rPr>
        <w:t>]　《推荐性国家标准采信团体标准暂行规定》（国标委发〔202</w:t>
      </w:r>
      <w:r>
        <w:t>3</w:t>
      </w:r>
      <w:r>
        <w:rPr>
          <w:rFonts w:hint="eastAsia"/>
        </w:rPr>
        <w:t>〕3</w:t>
      </w:r>
      <w:r>
        <w:t>9</w:t>
      </w:r>
      <w:r>
        <w:rPr>
          <w:rFonts w:hint="eastAsia"/>
        </w:rPr>
        <w:t>号）</w:t>
      </w:r>
      <w:r>
        <w:t>.</w:t>
      </w:r>
    </w:p>
    <w:bookmarkEnd w:id="45"/>
    <w:p w14:paraId="2DED4C5D">
      <w:pPr>
        <w:pStyle w:val="56"/>
        <w:ind w:firstLine="0" w:firstLineChars="0"/>
        <w:jc w:val="center"/>
      </w:pPr>
      <w:bookmarkStart w:id="46"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8E9">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421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6491">
    <w:pPr>
      <w:pStyle w:val="52"/>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999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825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3B125">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1829">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2694"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567" w:firstLine="0"/>
      </w:pPr>
      <w:rPr>
        <w:rFonts w:hint="eastAsia"/>
        <w:spacing w:val="100"/>
      </w:rPr>
    </w:lvl>
    <w:lvl w:ilvl="1" w:tentative="0">
      <w:start w:val="1"/>
      <w:numFmt w:val="decimal"/>
      <w:pStyle w:val="78"/>
      <w:suff w:val="nothing"/>
      <w:lvlText w:val="%1.%2　"/>
      <w:lvlJc w:val="left"/>
      <w:pPr>
        <w:ind w:left="993"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CD"/>
    <w:rsid w:val="0000040A"/>
    <w:rsid w:val="00000A94"/>
    <w:rsid w:val="00000E22"/>
    <w:rsid w:val="00001972"/>
    <w:rsid w:val="00001D9A"/>
    <w:rsid w:val="00006204"/>
    <w:rsid w:val="00006CB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21E"/>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50D"/>
    <w:rsid w:val="00067F1E"/>
    <w:rsid w:val="0007158B"/>
    <w:rsid w:val="00071CC0"/>
    <w:rsid w:val="00071CFC"/>
    <w:rsid w:val="00072DF2"/>
    <w:rsid w:val="00073C8C"/>
    <w:rsid w:val="00076906"/>
    <w:rsid w:val="00077B64"/>
    <w:rsid w:val="00080A1C"/>
    <w:rsid w:val="00082317"/>
    <w:rsid w:val="00083D2C"/>
    <w:rsid w:val="000844C7"/>
    <w:rsid w:val="00086AA1"/>
    <w:rsid w:val="00087A77"/>
    <w:rsid w:val="00090CA6"/>
    <w:rsid w:val="00092B8A"/>
    <w:rsid w:val="00092FB0"/>
    <w:rsid w:val="000934C5"/>
    <w:rsid w:val="00093D25"/>
    <w:rsid w:val="00093DAB"/>
    <w:rsid w:val="00094D73"/>
    <w:rsid w:val="000951DD"/>
    <w:rsid w:val="00096598"/>
    <w:rsid w:val="00096D63"/>
    <w:rsid w:val="000A0B60"/>
    <w:rsid w:val="000A0EB8"/>
    <w:rsid w:val="000A19FC"/>
    <w:rsid w:val="000A296B"/>
    <w:rsid w:val="000A7311"/>
    <w:rsid w:val="000A76DF"/>
    <w:rsid w:val="000B060F"/>
    <w:rsid w:val="000B07EE"/>
    <w:rsid w:val="000B1592"/>
    <w:rsid w:val="000B1FF2"/>
    <w:rsid w:val="000B3CDA"/>
    <w:rsid w:val="000B5374"/>
    <w:rsid w:val="000B6A0B"/>
    <w:rsid w:val="000C0F6C"/>
    <w:rsid w:val="000C11DB"/>
    <w:rsid w:val="000C1492"/>
    <w:rsid w:val="000C2FBD"/>
    <w:rsid w:val="000C4B41"/>
    <w:rsid w:val="000C57D6"/>
    <w:rsid w:val="000C6362"/>
    <w:rsid w:val="000C7666"/>
    <w:rsid w:val="000D0A9C"/>
    <w:rsid w:val="000D0F9C"/>
    <w:rsid w:val="000D1795"/>
    <w:rsid w:val="000D2E38"/>
    <w:rsid w:val="000D329A"/>
    <w:rsid w:val="000D4B9C"/>
    <w:rsid w:val="000D4EB6"/>
    <w:rsid w:val="000D753B"/>
    <w:rsid w:val="000E4C9E"/>
    <w:rsid w:val="000E6FD7"/>
    <w:rsid w:val="000E7144"/>
    <w:rsid w:val="000F06E1"/>
    <w:rsid w:val="000F0E3C"/>
    <w:rsid w:val="000F19D5"/>
    <w:rsid w:val="000F4050"/>
    <w:rsid w:val="000F4AEA"/>
    <w:rsid w:val="000F67E9"/>
    <w:rsid w:val="0010370B"/>
    <w:rsid w:val="00104926"/>
    <w:rsid w:val="001077A8"/>
    <w:rsid w:val="00113B1E"/>
    <w:rsid w:val="0011711C"/>
    <w:rsid w:val="00124E4F"/>
    <w:rsid w:val="001260B7"/>
    <w:rsid w:val="001265CB"/>
    <w:rsid w:val="001321C6"/>
    <w:rsid w:val="001325C4"/>
    <w:rsid w:val="00133010"/>
    <w:rsid w:val="001338EE"/>
    <w:rsid w:val="00133AAE"/>
    <w:rsid w:val="00135323"/>
    <w:rsid w:val="001356C4"/>
    <w:rsid w:val="00137565"/>
    <w:rsid w:val="00140684"/>
    <w:rsid w:val="00141114"/>
    <w:rsid w:val="00142969"/>
    <w:rsid w:val="001446C2"/>
    <w:rsid w:val="00144A85"/>
    <w:rsid w:val="001457E7"/>
    <w:rsid w:val="00145D9D"/>
    <w:rsid w:val="00146388"/>
    <w:rsid w:val="001529E5"/>
    <w:rsid w:val="00152FB3"/>
    <w:rsid w:val="00153C7E"/>
    <w:rsid w:val="00156B25"/>
    <w:rsid w:val="00156E1A"/>
    <w:rsid w:val="00157894"/>
    <w:rsid w:val="001579F9"/>
    <w:rsid w:val="00157B55"/>
    <w:rsid w:val="00160144"/>
    <w:rsid w:val="001642FA"/>
    <w:rsid w:val="001649DB"/>
    <w:rsid w:val="001649EB"/>
    <w:rsid w:val="00164BAF"/>
    <w:rsid w:val="00164FA8"/>
    <w:rsid w:val="00165065"/>
    <w:rsid w:val="00165434"/>
    <w:rsid w:val="0016580B"/>
    <w:rsid w:val="00165F49"/>
    <w:rsid w:val="00166B07"/>
    <w:rsid w:val="00166B88"/>
    <w:rsid w:val="0016770A"/>
    <w:rsid w:val="00170804"/>
    <w:rsid w:val="001708E9"/>
    <w:rsid w:val="0017340B"/>
    <w:rsid w:val="00173FB1"/>
    <w:rsid w:val="00176DFD"/>
    <w:rsid w:val="00177F2F"/>
    <w:rsid w:val="00181E25"/>
    <w:rsid w:val="00183E66"/>
    <w:rsid w:val="001852C9"/>
    <w:rsid w:val="00187A0B"/>
    <w:rsid w:val="00190087"/>
    <w:rsid w:val="001913C4"/>
    <w:rsid w:val="0019348F"/>
    <w:rsid w:val="00193A07"/>
    <w:rsid w:val="00194C95"/>
    <w:rsid w:val="00195C34"/>
    <w:rsid w:val="00196EF5"/>
    <w:rsid w:val="001A1A53"/>
    <w:rsid w:val="001A1C9C"/>
    <w:rsid w:val="001A234A"/>
    <w:rsid w:val="001A4CF3"/>
    <w:rsid w:val="001A6696"/>
    <w:rsid w:val="001B06C5"/>
    <w:rsid w:val="001B06E8"/>
    <w:rsid w:val="001B661C"/>
    <w:rsid w:val="001B71D0"/>
    <w:rsid w:val="001B71EE"/>
    <w:rsid w:val="001C04A8"/>
    <w:rsid w:val="001C2C03"/>
    <w:rsid w:val="001C42F7"/>
    <w:rsid w:val="001C49E5"/>
    <w:rsid w:val="001C680C"/>
    <w:rsid w:val="001C7FEA"/>
    <w:rsid w:val="001D0499"/>
    <w:rsid w:val="001D0BBE"/>
    <w:rsid w:val="001D0ED4"/>
    <w:rsid w:val="001D1600"/>
    <w:rsid w:val="001D212F"/>
    <w:rsid w:val="001D2310"/>
    <w:rsid w:val="001D29D7"/>
    <w:rsid w:val="001D2DE7"/>
    <w:rsid w:val="001D411C"/>
    <w:rsid w:val="001E1B6A"/>
    <w:rsid w:val="001E2484"/>
    <w:rsid w:val="001E3CC4"/>
    <w:rsid w:val="001E4882"/>
    <w:rsid w:val="001E5763"/>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36C"/>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580B"/>
    <w:rsid w:val="00246021"/>
    <w:rsid w:val="0024666E"/>
    <w:rsid w:val="00247F52"/>
    <w:rsid w:val="00250B25"/>
    <w:rsid w:val="00250BBE"/>
    <w:rsid w:val="002515C2"/>
    <w:rsid w:val="0025194F"/>
    <w:rsid w:val="00252891"/>
    <w:rsid w:val="0026148A"/>
    <w:rsid w:val="00262356"/>
    <w:rsid w:val="00262696"/>
    <w:rsid w:val="00263D25"/>
    <w:rsid w:val="002643C3"/>
    <w:rsid w:val="00264A0C"/>
    <w:rsid w:val="00266EEB"/>
    <w:rsid w:val="00267EF4"/>
    <w:rsid w:val="00270CB8"/>
    <w:rsid w:val="00272B08"/>
    <w:rsid w:val="0027313A"/>
    <w:rsid w:val="00281BB8"/>
    <w:rsid w:val="00281E9E"/>
    <w:rsid w:val="00282405"/>
    <w:rsid w:val="00285170"/>
    <w:rsid w:val="00285361"/>
    <w:rsid w:val="002862B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BE7"/>
    <w:rsid w:val="002D42B5"/>
    <w:rsid w:val="002D4F1A"/>
    <w:rsid w:val="002D6EC6"/>
    <w:rsid w:val="002D79AC"/>
    <w:rsid w:val="002E039D"/>
    <w:rsid w:val="002E0D6A"/>
    <w:rsid w:val="002E4D5A"/>
    <w:rsid w:val="002E6326"/>
    <w:rsid w:val="002E6F3A"/>
    <w:rsid w:val="002F30E0"/>
    <w:rsid w:val="002F35E4"/>
    <w:rsid w:val="002F3730"/>
    <w:rsid w:val="002F38E1"/>
    <w:rsid w:val="002F471E"/>
    <w:rsid w:val="002F7AF6"/>
    <w:rsid w:val="00300E63"/>
    <w:rsid w:val="00301B84"/>
    <w:rsid w:val="00302385"/>
    <w:rsid w:val="00302F5F"/>
    <w:rsid w:val="0030441D"/>
    <w:rsid w:val="00304514"/>
    <w:rsid w:val="00306063"/>
    <w:rsid w:val="00313B85"/>
    <w:rsid w:val="00317988"/>
    <w:rsid w:val="003221B4"/>
    <w:rsid w:val="0032258D"/>
    <w:rsid w:val="00322E62"/>
    <w:rsid w:val="003233F2"/>
    <w:rsid w:val="00324D13"/>
    <w:rsid w:val="00324EDD"/>
    <w:rsid w:val="00326017"/>
    <w:rsid w:val="00326072"/>
    <w:rsid w:val="003331E4"/>
    <w:rsid w:val="00336C64"/>
    <w:rsid w:val="00337162"/>
    <w:rsid w:val="0034194F"/>
    <w:rsid w:val="00344605"/>
    <w:rsid w:val="00345B90"/>
    <w:rsid w:val="003474AA"/>
    <w:rsid w:val="00350D1D"/>
    <w:rsid w:val="003523AE"/>
    <w:rsid w:val="00352C83"/>
    <w:rsid w:val="00352F1A"/>
    <w:rsid w:val="00354362"/>
    <w:rsid w:val="0036107C"/>
    <w:rsid w:val="003615D2"/>
    <w:rsid w:val="0036429C"/>
    <w:rsid w:val="00364913"/>
    <w:rsid w:val="00364A53"/>
    <w:rsid w:val="003654CB"/>
    <w:rsid w:val="00365AA9"/>
    <w:rsid w:val="00365F86"/>
    <w:rsid w:val="00365F87"/>
    <w:rsid w:val="00366E89"/>
    <w:rsid w:val="003705F4"/>
    <w:rsid w:val="00370D58"/>
    <w:rsid w:val="00371316"/>
    <w:rsid w:val="00376713"/>
    <w:rsid w:val="00380E0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46C"/>
    <w:rsid w:val="003B09AD"/>
    <w:rsid w:val="003B1F18"/>
    <w:rsid w:val="003B5BF0"/>
    <w:rsid w:val="003B60BF"/>
    <w:rsid w:val="003B6BE3"/>
    <w:rsid w:val="003C010C"/>
    <w:rsid w:val="003C0A6C"/>
    <w:rsid w:val="003C14F8"/>
    <w:rsid w:val="003C5141"/>
    <w:rsid w:val="003C5A43"/>
    <w:rsid w:val="003D0519"/>
    <w:rsid w:val="003D0F19"/>
    <w:rsid w:val="003D0FF6"/>
    <w:rsid w:val="003D262C"/>
    <w:rsid w:val="003D4989"/>
    <w:rsid w:val="003D6D61"/>
    <w:rsid w:val="003E019F"/>
    <w:rsid w:val="003E091D"/>
    <w:rsid w:val="003E1883"/>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A69"/>
    <w:rsid w:val="00407D39"/>
    <w:rsid w:val="00413478"/>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F53"/>
    <w:rsid w:val="004746B1"/>
    <w:rsid w:val="0047583F"/>
    <w:rsid w:val="00475DE8"/>
    <w:rsid w:val="00481C44"/>
    <w:rsid w:val="00483AEE"/>
    <w:rsid w:val="00484936"/>
    <w:rsid w:val="00485C89"/>
    <w:rsid w:val="00486BE3"/>
    <w:rsid w:val="004905E4"/>
    <w:rsid w:val="00490A89"/>
    <w:rsid w:val="00490AB4"/>
    <w:rsid w:val="00492F02"/>
    <w:rsid w:val="004939AE"/>
    <w:rsid w:val="00493D4B"/>
    <w:rsid w:val="004A12DF"/>
    <w:rsid w:val="004A1BA8"/>
    <w:rsid w:val="004A1DC1"/>
    <w:rsid w:val="004A4B57"/>
    <w:rsid w:val="004A63FA"/>
    <w:rsid w:val="004A6A3D"/>
    <w:rsid w:val="004A7361"/>
    <w:rsid w:val="004B0272"/>
    <w:rsid w:val="004B2701"/>
    <w:rsid w:val="004B2E1B"/>
    <w:rsid w:val="004B3AA8"/>
    <w:rsid w:val="004B3E93"/>
    <w:rsid w:val="004C000E"/>
    <w:rsid w:val="004C1FBC"/>
    <w:rsid w:val="004C25A2"/>
    <w:rsid w:val="004C282B"/>
    <w:rsid w:val="004C383F"/>
    <w:rsid w:val="004C3F1D"/>
    <w:rsid w:val="004C458D"/>
    <w:rsid w:val="004C7556"/>
    <w:rsid w:val="004C7E8B"/>
    <w:rsid w:val="004C7E9D"/>
    <w:rsid w:val="004C7F67"/>
    <w:rsid w:val="004D076D"/>
    <w:rsid w:val="004D0EF1"/>
    <w:rsid w:val="004D154C"/>
    <w:rsid w:val="004D2253"/>
    <w:rsid w:val="004D4406"/>
    <w:rsid w:val="004D7C42"/>
    <w:rsid w:val="004E0465"/>
    <w:rsid w:val="004E127B"/>
    <w:rsid w:val="004E1C0A"/>
    <w:rsid w:val="004E30C5"/>
    <w:rsid w:val="004E4AA5"/>
    <w:rsid w:val="004E4AEE"/>
    <w:rsid w:val="004E59E3"/>
    <w:rsid w:val="004E67C0"/>
    <w:rsid w:val="004F29A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62F"/>
    <w:rsid w:val="00514174"/>
    <w:rsid w:val="00516088"/>
    <w:rsid w:val="00516B0B"/>
    <w:rsid w:val="005220EC"/>
    <w:rsid w:val="005237C5"/>
    <w:rsid w:val="00523F95"/>
    <w:rsid w:val="00524D65"/>
    <w:rsid w:val="005252F1"/>
    <w:rsid w:val="00525B16"/>
    <w:rsid w:val="00533D04"/>
    <w:rsid w:val="00534066"/>
    <w:rsid w:val="00534804"/>
    <w:rsid w:val="00534BDF"/>
    <w:rsid w:val="005354EA"/>
    <w:rsid w:val="0053585F"/>
    <w:rsid w:val="00535BE7"/>
    <w:rsid w:val="00535EC4"/>
    <w:rsid w:val="00535ED9"/>
    <w:rsid w:val="0053692B"/>
    <w:rsid w:val="00541853"/>
    <w:rsid w:val="00543BDA"/>
    <w:rsid w:val="005441CC"/>
    <w:rsid w:val="005479DA"/>
    <w:rsid w:val="00547BCC"/>
    <w:rsid w:val="0055013B"/>
    <w:rsid w:val="00551F6F"/>
    <w:rsid w:val="00554467"/>
    <w:rsid w:val="00555044"/>
    <w:rsid w:val="00561475"/>
    <w:rsid w:val="00562308"/>
    <w:rsid w:val="0056487B"/>
    <w:rsid w:val="00564FB9"/>
    <w:rsid w:val="00573D9E"/>
    <w:rsid w:val="005801E3"/>
    <w:rsid w:val="00581802"/>
    <w:rsid w:val="005836A8"/>
    <w:rsid w:val="0058409C"/>
    <w:rsid w:val="00584262"/>
    <w:rsid w:val="00585086"/>
    <w:rsid w:val="00586630"/>
    <w:rsid w:val="00587ADD"/>
    <w:rsid w:val="00593A49"/>
    <w:rsid w:val="00594D5C"/>
    <w:rsid w:val="00596160"/>
    <w:rsid w:val="005966E2"/>
    <w:rsid w:val="00597007"/>
    <w:rsid w:val="005A0966"/>
    <w:rsid w:val="005A1004"/>
    <w:rsid w:val="005A11B7"/>
    <w:rsid w:val="005A260B"/>
    <w:rsid w:val="005A4A1B"/>
    <w:rsid w:val="005A7654"/>
    <w:rsid w:val="005A7830"/>
    <w:rsid w:val="005A7FCE"/>
    <w:rsid w:val="005B0F3F"/>
    <w:rsid w:val="005B191C"/>
    <w:rsid w:val="005B1D6A"/>
    <w:rsid w:val="005B4903"/>
    <w:rsid w:val="005B51CE"/>
    <w:rsid w:val="005B5885"/>
    <w:rsid w:val="005B5CD7"/>
    <w:rsid w:val="005B6CF6"/>
    <w:rsid w:val="005B7422"/>
    <w:rsid w:val="005C29B8"/>
    <w:rsid w:val="005C48C2"/>
    <w:rsid w:val="005C5F21"/>
    <w:rsid w:val="005C7156"/>
    <w:rsid w:val="005D0C75"/>
    <w:rsid w:val="005D4171"/>
    <w:rsid w:val="005D4ABB"/>
    <w:rsid w:val="005D6A95"/>
    <w:rsid w:val="005D6B2C"/>
    <w:rsid w:val="005D6D9C"/>
    <w:rsid w:val="005E2335"/>
    <w:rsid w:val="005E3373"/>
    <w:rsid w:val="005E34CA"/>
    <w:rsid w:val="005E3C18"/>
    <w:rsid w:val="005E4250"/>
    <w:rsid w:val="005E6812"/>
    <w:rsid w:val="005E7881"/>
    <w:rsid w:val="005E78E0"/>
    <w:rsid w:val="005F0D9C"/>
    <w:rsid w:val="005F1BA4"/>
    <w:rsid w:val="005F284E"/>
    <w:rsid w:val="006015CE"/>
    <w:rsid w:val="00604784"/>
    <w:rsid w:val="00606419"/>
    <w:rsid w:val="00607D29"/>
    <w:rsid w:val="00612952"/>
    <w:rsid w:val="00614CC1"/>
    <w:rsid w:val="00615A9D"/>
    <w:rsid w:val="0061683F"/>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2DF"/>
    <w:rsid w:val="00643A44"/>
    <w:rsid w:val="00643A76"/>
    <w:rsid w:val="00645904"/>
    <w:rsid w:val="00651ACB"/>
    <w:rsid w:val="00651C47"/>
    <w:rsid w:val="00652AB2"/>
    <w:rsid w:val="00653FED"/>
    <w:rsid w:val="00654EC0"/>
    <w:rsid w:val="006550F1"/>
    <w:rsid w:val="0065525B"/>
    <w:rsid w:val="00655D4F"/>
    <w:rsid w:val="00656D29"/>
    <w:rsid w:val="006640E5"/>
    <w:rsid w:val="006646F1"/>
    <w:rsid w:val="00664929"/>
    <w:rsid w:val="00664F62"/>
    <w:rsid w:val="006655E1"/>
    <w:rsid w:val="00672060"/>
    <w:rsid w:val="00672704"/>
    <w:rsid w:val="00672BFD"/>
    <w:rsid w:val="006770F4"/>
    <w:rsid w:val="00677A84"/>
    <w:rsid w:val="0068026D"/>
    <w:rsid w:val="00680A27"/>
    <w:rsid w:val="006816A4"/>
    <w:rsid w:val="006819B8"/>
    <w:rsid w:val="006840A6"/>
    <w:rsid w:val="006850CD"/>
    <w:rsid w:val="00685AAB"/>
    <w:rsid w:val="006902DF"/>
    <w:rsid w:val="00693962"/>
    <w:rsid w:val="006A07AA"/>
    <w:rsid w:val="006A25E5"/>
    <w:rsid w:val="006A2B46"/>
    <w:rsid w:val="006A336D"/>
    <w:rsid w:val="006A37B9"/>
    <w:rsid w:val="006A773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C98"/>
    <w:rsid w:val="006E779D"/>
    <w:rsid w:val="006F03A8"/>
    <w:rsid w:val="006F2ACA"/>
    <w:rsid w:val="006F2ADC"/>
    <w:rsid w:val="006F2BFE"/>
    <w:rsid w:val="006F31E9"/>
    <w:rsid w:val="006F6284"/>
    <w:rsid w:val="007002C5"/>
    <w:rsid w:val="00704387"/>
    <w:rsid w:val="00707669"/>
    <w:rsid w:val="00711CBA"/>
    <w:rsid w:val="00711FB5"/>
    <w:rsid w:val="00712A01"/>
    <w:rsid w:val="00714F58"/>
    <w:rsid w:val="00722611"/>
    <w:rsid w:val="00722FBF"/>
    <w:rsid w:val="00722FC2"/>
    <w:rsid w:val="00724E1B"/>
    <w:rsid w:val="00725949"/>
    <w:rsid w:val="00727FA2"/>
    <w:rsid w:val="00730A8B"/>
    <w:rsid w:val="007322D9"/>
    <w:rsid w:val="00732BC0"/>
    <w:rsid w:val="0073720F"/>
    <w:rsid w:val="00737796"/>
    <w:rsid w:val="00737AC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F51"/>
    <w:rsid w:val="00773C1F"/>
    <w:rsid w:val="00774DA4"/>
    <w:rsid w:val="0077650C"/>
    <w:rsid w:val="00776599"/>
    <w:rsid w:val="0078114B"/>
    <w:rsid w:val="00781DD2"/>
    <w:rsid w:val="00783ECF"/>
    <w:rsid w:val="0078413A"/>
    <w:rsid w:val="00785CF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048"/>
    <w:rsid w:val="007B7453"/>
    <w:rsid w:val="007C2D89"/>
    <w:rsid w:val="007C37A3"/>
    <w:rsid w:val="007C4593"/>
    <w:rsid w:val="007C5309"/>
    <w:rsid w:val="007C6069"/>
    <w:rsid w:val="007D06C4"/>
    <w:rsid w:val="007D1352"/>
    <w:rsid w:val="007D2508"/>
    <w:rsid w:val="007D346A"/>
    <w:rsid w:val="007D6518"/>
    <w:rsid w:val="007D6527"/>
    <w:rsid w:val="007D7418"/>
    <w:rsid w:val="007D76BD"/>
    <w:rsid w:val="007E0BF1"/>
    <w:rsid w:val="007E787E"/>
    <w:rsid w:val="007F0ED8"/>
    <w:rsid w:val="007F0F63"/>
    <w:rsid w:val="007F172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02F"/>
    <w:rsid w:val="00817325"/>
    <w:rsid w:val="008209E6"/>
    <w:rsid w:val="00821D19"/>
    <w:rsid w:val="00823303"/>
    <w:rsid w:val="008233B2"/>
    <w:rsid w:val="00823A9F"/>
    <w:rsid w:val="00823C85"/>
    <w:rsid w:val="00825138"/>
    <w:rsid w:val="008269DD"/>
    <w:rsid w:val="00830621"/>
    <w:rsid w:val="0083348C"/>
    <w:rsid w:val="008373D3"/>
    <w:rsid w:val="00837EFB"/>
    <w:rsid w:val="00840617"/>
    <w:rsid w:val="00840F84"/>
    <w:rsid w:val="00842A47"/>
    <w:rsid w:val="00843C13"/>
    <w:rsid w:val="00843DEF"/>
    <w:rsid w:val="008454F8"/>
    <w:rsid w:val="0085042C"/>
    <w:rsid w:val="0085173A"/>
    <w:rsid w:val="008603CE"/>
    <w:rsid w:val="008620FC"/>
    <w:rsid w:val="008627A5"/>
    <w:rsid w:val="00863E05"/>
    <w:rsid w:val="00865ACA"/>
    <w:rsid w:val="00865D28"/>
    <w:rsid w:val="00865F85"/>
    <w:rsid w:val="008667D9"/>
    <w:rsid w:val="008679E3"/>
    <w:rsid w:val="00867C10"/>
    <w:rsid w:val="00870439"/>
    <w:rsid w:val="00870DA1"/>
    <w:rsid w:val="008755D1"/>
    <w:rsid w:val="00877AB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036"/>
    <w:rsid w:val="008A173B"/>
    <w:rsid w:val="008A1893"/>
    <w:rsid w:val="008A4CA1"/>
    <w:rsid w:val="008A57E6"/>
    <w:rsid w:val="008A6F81"/>
    <w:rsid w:val="008A769A"/>
    <w:rsid w:val="008B0C9C"/>
    <w:rsid w:val="008B166D"/>
    <w:rsid w:val="008B17F4"/>
    <w:rsid w:val="008B264D"/>
    <w:rsid w:val="008B3615"/>
    <w:rsid w:val="008B4AC4"/>
    <w:rsid w:val="008B50C8"/>
    <w:rsid w:val="008B5281"/>
    <w:rsid w:val="008B7E05"/>
    <w:rsid w:val="008C1797"/>
    <w:rsid w:val="008C219C"/>
    <w:rsid w:val="008C475E"/>
    <w:rsid w:val="008C5511"/>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5E83"/>
    <w:rsid w:val="009674AD"/>
    <w:rsid w:val="00970CDC"/>
    <w:rsid w:val="00975727"/>
    <w:rsid w:val="00977010"/>
    <w:rsid w:val="00977D02"/>
    <w:rsid w:val="00977FF9"/>
    <w:rsid w:val="009809BB"/>
    <w:rsid w:val="0098364B"/>
    <w:rsid w:val="00983B6F"/>
    <w:rsid w:val="009908A3"/>
    <w:rsid w:val="009911AF"/>
    <w:rsid w:val="00991875"/>
    <w:rsid w:val="00991923"/>
    <w:rsid w:val="00991F92"/>
    <w:rsid w:val="00992985"/>
    <w:rsid w:val="00993889"/>
    <w:rsid w:val="0099551B"/>
    <w:rsid w:val="00996BD2"/>
    <w:rsid w:val="00997BF1"/>
    <w:rsid w:val="009A081B"/>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BCD"/>
    <w:rsid w:val="009D47FA"/>
    <w:rsid w:val="009D4C5B"/>
    <w:rsid w:val="009D50D2"/>
    <w:rsid w:val="009D6BCA"/>
    <w:rsid w:val="009E0F62"/>
    <w:rsid w:val="009E2625"/>
    <w:rsid w:val="009E4A58"/>
    <w:rsid w:val="009E5A2D"/>
    <w:rsid w:val="009E5AB2"/>
    <w:rsid w:val="009E5B0D"/>
    <w:rsid w:val="009E6219"/>
    <w:rsid w:val="009F03B3"/>
    <w:rsid w:val="00A0096C"/>
    <w:rsid w:val="00A01757"/>
    <w:rsid w:val="00A028C0"/>
    <w:rsid w:val="00A02BAE"/>
    <w:rsid w:val="00A06A6B"/>
    <w:rsid w:val="00A07E47"/>
    <w:rsid w:val="00A11108"/>
    <w:rsid w:val="00A129D0"/>
    <w:rsid w:val="00A12C33"/>
    <w:rsid w:val="00A138BA"/>
    <w:rsid w:val="00A14C8E"/>
    <w:rsid w:val="00A153D9"/>
    <w:rsid w:val="00A15F09"/>
    <w:rsid w:val="00A169B6"/>
    <w:rsid w:val="00A2271D"/>
    <w:rsid w:val="00A237D5"/>
    <w:rsid w:val="00A247B6"/>
    <w:rsid w:val="00A2620E"/>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7A8"/>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DAA"/>
    <w:rsid w:val="00AA57F5"/>
    <w:rsid w:val="00AA672E"/>
    <w:rsid w:val="00AA6EC9"/>
    <w:rsid w:val="00AB6309"/>
    <w:rsid w:val="00AB6C5F"/>
    <w:rsid w:val="00AB7129"/>
    <w:rsid w:val="00AC15E8"/>
    <w:rsid w:val="00AC27A6"/>
    <w:rsid w:val="00AC30F7"/>
    <w:rsid w:val="00AC3A5A"/>
    <w:rsid w:val="00AC4D95"/>
    <w:rsid w:val="00AC5DF4"/>
    <w:rsid w:val="00AD0AEF"/>
    <w:rsid w:val="00AD11B7"/>
    <w:rsid w:val="00AD1A94"/>
    <w:rsid w:val="00AD1C05"/>
    <w:rsid w:val="00AD4126"/>
    <w:rsid w:val="00AD421C"/>
    <w:rsid w:val="00AD44FA"/>
    <w:rsid w:val="00AD49A3"/>
    <w:rsid w:val="00AD7039"/>
    <w:rsid w:val="00AD7FA0"/>
    <w:rsid w:val="00AE070A"/>
    <w:rsid w:val="00AE101C"/>
    <w:rsid w:val="00AE2A69"/>
    <w:rsid w:val="00AE37E5"/>
    <w:rsid w:val="00AE5EB4"/>
    <w:rsid w:val="00AF0C18"/>
    <w:rsid w:val="00AF47C5"/>
    <w:rsid w:val="00AF5398"/>
    <w:rsid w:val="00AF72F9"/>
    <w:rsid w:val="00B049AF"/>
    <w:rsid w:val="00B0605A"/>
    <w:rsid w:val="00B07242"/>
    <w:rsid w:val="00B10534"/>
    <w:rsid w:val="00B113DB"/>
    <w:rsid w:val="00B11D8A"/>
    <w:rsid w:val="00B12981"/>
    <w:rsid w:val="00B147DD"/>
    <w:rsid w:val="00B156FD"/>
    <w:rsid w:val="00B21F61"/>
    <w:rsid w:val="00B23FD8"/>
    <w:rsid w:val="00B261F1"/>
    <w:rsid w:val="00B265BC"/>
    <w:rsid w:val="00B31FB1"/>
    <w:rsid w:val="00B33952"/>
    <w:rsid w:val="00B33C5E"/>
    <w:rsid w:val="00B342F4"/>
    <w:rsid w:val="00B34369"/>
    <w:rsid w:val="00B34DC2"/>
    <w:rsid w:val="00B378E5"/>
    <w:rsid w:val="00B4346D"/>
    <w:rsid w:val="00B43AE1"/>
    <w:rsid w:val="00B440F4"/>
    <w:rsid w:val="00B447A5"/>
    <w:rsid w:val="00B4654C"/>
    <w:rsid w:val="00B46B04"/>
    <w:rsid w:val="00B47293"/>
    <w:rsid w:val="00B50E50"/>
    <w:rsid w:val="00B52120"/>
    <w:rsid w:val="00B54ABC"/>
    <w:rsid w:val="00B56FBE"/>
    <w:rsid w:val="00B60ACF"/>
    <w:rsid w:val="00B62B58"/>
    <w:rsid w:val="00B62BA6"/>
    <w:rsid w:val="00B634BD"/>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33D"/>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D8B"/>
    <w:rsid w:val="00C04904"/>
    <w:rsid w:val="00C056B3"/>
    <w:rsid w:val="00C103E5"/>
    <w:rsid w:val="00C1186A"/>
    <w:rsid w:val="00C13319"/>
    <w:rsid w:val="00C13EE9"/>
    <w:rsid w:val="00C1499A"/>
    <w:rsid w:val="00C16C62"/>
    <w:rsid w:val="00C21540"/>
    <w:rsid w:val="00C21906"/>
    <w:rsid w:val="00C21BFA"/>
    <w:rsid w:val="00C24C8D"/>
    <w:rsid w:val="00C25FE2"/>
    <w:rsid w:val="00C26B53"/>
    <w:rsid w:val="00C26ECE"/>
    <w:rsid w:val="00C279B2"/>
    <w:rsid w:val="00C33E50"/>
    <w:rsid w:val="00C34C20"/>
    <w:rsid w:val="00C35000"/>
    <w:rsid w:val="00C35A3E"/>
    <w:rsid w:val="00C37700"/>
    <w:rsid w:val="00C42130"/>
    <w:rsid w:val="00C423A4"/>
    <w:rsid w:val="00C423E3"/>
    <w:rsid w:val="00C4464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B44"/>
    <w:rsid w:val="00C860BF"/>
    <w:rsid w:val="00C86D6F"/>
    <w:rsid w:val="00C905FC"/>
    <w:rsid w:val="00C913B4"/>
    <w:rsid w:val="00C92D03"/>
    <w:rsid w:val="00C9319C"/>
    <w:rsid w:val="00C9435D"/>
    <w:rsid w:val="00C94DF2"/>
    <w:rsid w:val="00C964A1"/>
    <w:rsid w:val="00C96741"/>
    <w:rsid w:val="00CA2D1B"/>
    <w:rsid w:val="00CA375D"/>
    <w:rsid w:val="00CA5E91"/>
    <w:rsid w:val="00CA662A"/>
    <w:rsid w:val="00CA686A"/>
    <w:rsid w:val="00CA7AFD"/>
    <w:rsid w:val="00CA7C3C"/>
    <w:rsid w:val="00CB0189"/>
    <w:rsid w:val="00CB0BA2"/>
    <w:rsid w:val="00CB1A42"/>
    <w:rsid w:val="00CB1B0C"/>
    <w:rsid w:val="00CB2C0B"/>
    <w:rsid w:val="00CB361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A7"/>
    <w:rsid w:val="00CE0C4F"/>
    <w:rsid w:val="00CE114E"/>
    <w:rsid w:val="00CE30EA"/>
    <w:rsid w:val="00CF048A"/>
    <w:rsid w:val="00CF155A"/>
    <w:rsid w:val="00CF24D8"/>
    <w:rsid w:val="00CF2947"/>
    <w:rsid w:val="00CF686F"/>
    <w:rsid w:val="00CF6E60"/>
    <w:rsid w:val="00CF78E5"/>
    <w:rsid w:val="00CF7BCA"/>
    <w:rsid w:val="00D008FD"/>
    <w:rsid w:val="00D00926"/>
    <w:rsid w:val="00D0321C"/>
    <w:rsid w:val="00D035EC"/>
    <w:rsid w:val="00D06AB1"/>
    <w:rsid w:val="00D06FC1"/>
    <w:rsid w:val="00D072ED"/>
    <w:rsid w:val="00D07A16"/>
    <w:rsid w:val="00D10102"/>
    <w:rsid w:val="00D1067E"/>
    <w:rsid w:val="00D10F50"/>
    <w:rsid w:val="00D11272"/>
    <w:rsid w:val="00D126F5"/>
    <w:rsid w:val="00D1489E"/>
    <w:rsid w:val="00D1686F"/>
    <w:rsid w:val="00D20737"/>
    <w:rsid w:val="00D21E81"/>
    <w:rsid w:val="00D223DE"/>
    <w:rsid w:val="00D25E37"/>
    <w:rsid w:val="00D2661A"/>
    <w:rsid w:val="00D27582"/>
    <w:rsid w:val="00D27EC4"/>
    <w:rsid w:val="00D32719"/>
    <w:rsid w:val="00D33333"/>
    <w:rsid w:val="00D352A2"/>
    <w:rsid w:val="00D4162B"/>
    <w:rsid w:val="00D43BB1"/>
    <w:rsid w:val="00D4514F"/>
    <w:rsid w:val="00D451E2"/>
    <w:rsid w:val="00D45E89"/>
    <w:rsid w:val="00D45E8D"/>
    <w:rsid w:val="00D466AE"/>
    <w:rsid w:val="00D4734F"/>
    <w:rsid w:val="00D51803"/>
    <w:rsid w:val="00D51BF3"/>
    <w:rsid w:val="00D65017"/>
    <w:rsid w:val="00D66846"/>
    <w:rsid w:val="00D675FB"/>
    <w:rsid w:val="00D71F25"/>
    <w:rsid w:val="00D72A9C"/>
    <w:rsid w:val="00D77031"/>
    <w:rsid w:val="00D77C0C"/>
    <w:rsid w:val="00D8383E"/>
    <w:rsid w:val="00D84941"/>
    <w:rsid w:val="00D84FA1"/>
    <w:rsid w:val="00D851F0"/>
    <w:rsid w:val="00D85D2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B16"/>
    <w:rsid w:val="00DA6277"/>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0C9"/>
    <w:rsid w:val="00DD6BCC"/>
    <w:rsid w:val="00DE066B"/>
    <w:rsid w:val="00DE0A4B"/>
    <w:rsid w:val="00DE2410"/>
    <w:rsid w:val="00DE2939"/>
    <w:rsid w:val="00DE6E81"/>
    <w:rsid w:val="00DE703F"/>
    <w:rsid w:val="00DE7595"/>
    <w:rsid w:val="00DF1961"/>
    <w:rsid w:val="00DF44DE"/>
    <w:rsid w:val="00E01138"/>
    <w:rsid w:val="00E02DFB"/>
    <w:rsid w:val="00E030F9"/>
    <w:rsid w:val="00E0311A"/>
    <w:rsid w:val="00E03138"/>
    <w:rsid w:val="00E052B9"/>
    <w:rsid w:val="00E06404"/>
    <w:rsid w:val="00E11A85"/>
    <w:rsid w:val="00E12495"/>
    <w:rsid w:val="00E15CCD"/>
    <w:rsid w:val="00E202EF"/>
    <w:rsid w:val="00E210B5"/>
    <w:rsid w:val="00E25383"/>
    <w:rsid w:val="00E2552F"/>
    <w:rsid w:val="00E3137A"/>
    <w:rsid w:val="00E32CCF"/>
    <w:rsid w:val="00E34A98"/>
    <w:rsid w:val="00E35D1E"/>
    <w:rsid w:val="00E364F9"/>
    <w:rsid w:val="00E365FA"/>
    <w:rsid w:val="00E36789"/>
    <w:rsid w:val="00E36ED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CB"/>
    <w:rsid w:val="00E822E8"/>
    <w:rsid w:val="00E82554"/>
    <w:rsid w:val="00E82606"/>
    <w:rsid w:val="00E82BBF"/>
    <w:rsid w:val="00E831C1"/>
    <w:rsid w:val="00E846C8"/>
    <w:rsid w:val="00E84957"/>
    <w:rsid w:val="00E84A55"/>
    <w:rsid w:val="00E85BFF"/>
    <w:rsid w:val="00E90391"/>
    <w:rsid w:val="00E906C2"/>
    <w:rsid w:val="00E9311F"/>
    <w:rsid w:val="00E934D1"/>
    <w:rsid w:val="00E94AF0"/>
    <w:rsid w:val="00E95D13"/>
    <w:rsid w:val="00E95DD3"/>
    <w:rsid w:val="00E969D5"/>
    <w:rsid w:val="00EA2841"/>
    <w:rsid w:val="00EA58D1"/>
    <w:rsid w:val="00EA61BC"/>
    <w:rsid w:val="00EA681A"/>
    <w:rsid w:val="00EA6D13"/>
    <w:rsid w:val="00EA735B"/>
    <w:rsid w:val="00EB1E69"/>
    <w:rsid w:val="00EB2086"/>
    <w:rsid w:val="00EB31ED"/>
    <w:rsid w:val="00EB5EDF"/>
    <w:rsid w:val="00EB60FE"/>
    <w:rsid w:val="00EB74DB"/>
    <w:rsid w:val="00EC1C6A"/>
    <w:rsid w:val="00EC5359"/>
    <w:rsid w:val="00EC562A"/>
    <w:rsid w:val="00ED067A"/>
    <w:rsid w:val="00ED2B50"/>
    <w:rsid w:val="00ED2E68"/>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795"/>
    <w:rsid w:val="00F515EE"/>
    <w:rsid w:val="00F56511"/>
    <w:rsid w:val="00F6194E"/>
    <w:rsid w:val="00F623AC"/>
    <w:rsid w:val="00F6412A"/>
    <w:rsid w:val="00F65893"/>
    <w:rsid w:val="00F66A4A"/>
    <w:rsid w:val="00F71E22"/>
    <w:rsid w:val="00F72142"/>
    <w:rsid w:val="00F72AE7"/>
    <w:rsid w:val="00F77605"/>
    <w:rsid w:val="00F826A8"/>
    <w:rsid w:val="00F833BA"/>
    <w:rsid w:val="00F84FD0"/>
    <w:rsid w:val="00F859A8"/>
    <w:rsid w:val="00F86D87"/>
    <w:rsid w:val="00F9108B"/>
    <w:rsid w:val="00F91349"/>
    <w:rsid w:val="00F93A8A"/>
    <w:rsid w:val="00F95248"/>
    <w:rsid w:val="00F956A9"/>
    <w:rsid w:val="00F963ED"/>
    <w:rsid w:val="00F966CF"/>
    <w:rsid w:val="00F96CAE"/>
    <w:rsid w:val="00F97C99"/>
    <w:rsid w:val="00FA1C46"/>
    <w:rsid w:val="00FA3657"/>
    <w:rsid w:val="00FA662D"/>
    <w:rsid w:val="00FA73B1"/>
    <w:rsid w:val="00FB0CB9"/>
    <w:rsid w:val="00FB231D"/>
    <w:rsid w:val="00FB45F1"/>
    <w:rsid w:val="00FB4A72"/>
    <w:rsid w:val="00FB54E8"/>
    <w:rsid w:val="00FB5718"/>
    <w:rsid w:val="00FB5D14"/>
    <w:rsid w:val="00FB7054"/>
    <w:rsid w:val="00FC17B7"/>
    <w:rsid w:val="00FC2CB7"/>
    <w:rsid w:val="00FC4090"/>
    <w:rsid w:val="00FC55B4"/>
    <w:rsid w:val="00FD00E6"/>
    <w:rsid w:val="00FD09A1"/>
    <w:rsid w:val="00FD2A7C"/>
    <w:rsid w:val="00FD59EB"/>
    <w:rsid w:val="00FD7299"/>
    <w:rsid w:val="00FE0AF8"/>
    <w:rsid w:val="00FE1FBE"/>
    <w:rsid w:val="00FE3901"/>
    <w:rsid w:val="00FE39D3"/>
    <w:rsid w:val="00FE4BCE"/>
    <w:rsid w:val="00FE54AE"/>
    <w:rsid w:val="00FE576A"/>
    <w:rsid w:val="00FE7E79"/>
    <w:rsid w:val="00FF3E7D"/>
    <w:rsid w:val="00FF5B99"/>
    <w:rsid w:val="00FF730C"/>
    <w:rsid w:val="00FF73F4"/>
    <w:rsid w:val="00FF7CE4"/>
    <w:rsid w:val="00FF7E39"/>
    <w:rsid w:val="082779A2"/>
    <w:rsid w:val="0A9B46E1"/>
    <w:rsid w:val="0EA36BC3"/>
    <w:rsid w:val="23562DA0"/>
    <w:rsid w:val="258F116C"/>
    <w:rsid w:val="291E202B"/>
    <w:rsid w:val="2C3A045B"/>
    <w:rsid w:val="2D947006"/>
    <w:rsid w:val="3B6277A8"/>
    <w:rsid w:val="3DD671C7"/>
    <w:rsid w:val="3F2F3033"/>
    <w:rsid w:val="473A2575"/>
    <w:rsid w:val="48280F56"/>
    <w:rsid w:val="4B86222C"/>
    <w:rsid w:val="51070FEE"/>
    <w:rsid w:val="52C31BE6"/>
    <w:rsid w:val="5587107B"/>
    <w:rsid w:val="5BD30E8F"/>
    <w:rsid w:val="61A40E29"/>
    <w:rsid w:val="626D1EE9"/>
    <w:rsid w:val="698A6F34"/>
    <w:rsid w:val="6BAC11C0"/>
    <w:rsid w:val="7056191E"/>
    <w:rsid w:val="721E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3969"/>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200" w:firstLineChars="200"/>
    </w:pPr>
    <w:rPr>
      <w:rFonts w:ascii="宋体" w:hAnsi="Times New Roman"/>
      <w:kern w:val="0"/>
    </w:rPr>
  </w:style>
  <w:style w:type="paragraph" w:customStyle="1" w:styleId="231">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 w:type="table" w:customStyle="1" w:styleId="232">
    <w:name w:val="Table Normal"/>
    <w:basedOn w:val="26"/>
    <w:qFormat/>
    <w:uiPriority w:val="0"/>
    <w:rPr>
      <w:rFonts w:ascii="Times New Roman" w:hAnsi="Times New Roman" w:eastAsia="Times New Roman"/>
    </w:rPr>
    <w:tblPr>
      <w:tblCellMar>
        <w:left w:w="0" w:type="dxa"/>
        <w:right w:w="0" w:type="dxa"/>
      </w:tblCellMar>
    </w:tblPr>
  </w:style>
  <w:style w:type="paragraph" w:customStyle="1" w:styleId="233">
    <w:name w:val="正文1"/>
    <w:qFormat/>
    <w:uiPriority w:val="0"/>
    <w:pPr>
      <w:jc w:val="both"/>
    </w:pPr>
    <w:rPr>
      <w:rFonts w:ascii="Calibri" w:hAnsi="Calibri" w:eastAsia="宋体" w:cs="Calibri"/>
      <w:kern w:val="2"/>
      <w:sz w:val="21"/>
      <w:szCs w:val="21"/>
      <w:lang w:val="en-US" w:eastAsia="zh-CN" w:bidi="ar-SA"/>
    </w:rPr>
  </w:style>
  <w:style w:type="character" w:customStyle="1" w:styleId="234">
    <w:name w:val="active"/>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18CB1014BCE4AD080322635D2E3CBBE"/>
        <w:style w:val=""/>
        <w:category>
          <w:name w:val="常规"/>
          <w:gallery w:val="placeholder"/>
        </w:category>
        <w:types>
          <w:type w:val="bbPlcHdr"/>
        </w:types>
        <w:behaviors>
          <w:behavior w:val="content"/>
        </w:behaviors>
        <w:description w:val=""/>
        <w:guid w:val="{19FA1B62-D9B2-4DD5-978D-7DCC6C78E9AA}"/>
      </w:docPartPr>
      <w:docPartBody>
        <w:p w14:paraId="37A8BC47">
          <w:pPr>
            <w:pStyle w:val="5"/>
          </w:pPr>
          <w:r>
            <w:rPr>
              <w:rStyle w:val="4"/>
              <w:rFonts w:hint="eastAsia"/>
            </w:rPr>
            <w:t>单击或点击此处输入文字。</w:t>
          </w:r>
        </w:p>
      </w:docPartBody>
    </w:docPart>
    <w:docPart>
      <w:docPartPr>
        <w:name w:val="3C52FF61149F44BAADFE9ECEB7E5FD3E"/>
        <w:style w:val=""/>
        <w:category>
          <w:name w:val="常规"/>
          <w:gallery w:val="placeholder"/>
        </w:category>
        <w:types>
          <w:type w:val="bbPlcHdr"/>
        </w:types>
        <w:behaviors>
          <w:behavior w:val="content"/>
        </w:behaviors>
        <w:description w:val=""/>
        <w:guid w:val="{655FFDB3-961A-4760-8F28-538E57B0A72E}"/>
      </w:docPartPr>
      <w:docPartBody>
        <w:p w14:paraId="7D2A2270">
          <w:pPr>
            <w:pStyle w:val="6"/>
          </w:pPr>
          <w:r>
            <w:rPr>
              <w:rStyle w:val="4"/>
              <w:rFonts w:hint="eastAsia"/>
            </w:rPr>
            <w:t>选择一项。</w:t>
          </w:r>
        </w:p>
      </w:docPartBody>
    </w:docPart>
    <w:docPart>
      <w:docPartPr>
        <w:name w:val="E8BC310E173944958317BDC8F0877ADA"/>
        <w:style w:val=""/>
        <w:category>
          <w:name w:val="常规"/>
          <w:gallery w:val="placeholder"/>
        </w:category>
        <w:types>
          <w:type w:val="bbPlcHdr"/>
        </w:types>
        <w:behaviors>
          <w:behavior w:val="content"/>
        </w:behaviors>
        <w:description w:val=""/>
        <w:guid w:val="{E6126426-98F3-4557-9FC0-41BA2E448D1F}"/>
      </w:docPartPr>
      <w:docPartBody>
        <w:p w14:paraId="170138D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D5"/>
    <w:rsid w:val="000D7876"/>
    <w:rsid w:val="000F6F29"/>
    <w:rsid w:val="001528E2"/>
    <w:rsid w:val="00185320"/>
    <w:rsid w:val="00351EF7"/>
    <w:rsid w:val="0039670D"/>
    <w:rsid w:val="004F3D98"/>
    <w:rsid w:val="005564D5"/>
    <w:rsid w:val="005F4884"/>
    <w:rsid w:val="007653EA"/>
    <w:rsid w:val="008C6CF6"/>
    <w:rsid w:val="00A915DF"/>
    <w:rsid w:val="00BC5791"/>
    <w:rsid w:val="00CD70D5"/>
    <w:rsid w:val="00D103A2"/>
    <w:rsid w:val="00D2656D"/>
    <w:rsid w:val="00DB3AFB"/>
    <w:rsid w:val="00E0284E"/>
    <w:rsid w:val="00F62BC2"/>
    <w:rsid w:val="00F7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18CB1014BCE4AD080322635D2E3CB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C52FF61149F44BAADFE9ECEB7E5FD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BC310E173944958317BDC8F0877AD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1017F-C7F6-4888-9C4C-365A119C5E0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3558</Words>
  <Characters>3767</Characters>
  <Lines>39</Lines>
  <Paragraphs>11</Paragraphs>
  <TotalTime>2</TotalTime>
  <ScaleCrop>false</ScaleCrop>
  <LinksUpToDate>false</LinksUpToDate>
  <CharactersWithSpaces>3851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2025-02-07T02:54:00Z</dcterms:created>
  <dc:creator>张弼</dc:creator>
  <dc:description>&lt;config cover="true" show_menu="true" version="1.0.0" doctype="SDKXY"&gt;_x000d_
&lt;/config&gt;</dc:description>
  <cp:lastModifiedBy>不要打兔子</cp:lastModifiedBy>
  <cp:lastPrinted>2021-02-02T08:22:00Z</cp:lastPrinted>
  <dcterms:modified xsi:type="dcterms:W3CDTF">2025-05-28T10:04:44Z</dcterms:modified>
  <dc:title>团体标准</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eyJoZGlkIjoiYjk3NDExYWMyYjkyNDRjMjlhM2UwMGQyOWMwODRiYzMiLCJ1c2VySWQiOiI5MTk1MTU3MjMifQ==</vt:lpwstr>
  </property>
  <property fmtid="{D5CDD505-2E9C-101B-9397-08002B2CF9AE}" pid="15" name="KSOProductBuildVer">
    <vt:lpwstr>2052-12.1.0.21171</vt:lpwstr>
  </property>
  <property fmtid="{D5CDD505-2E9C-101B-9397-08002B2CF9AE}" pid="16" name="ICV">
    <vt:lpwstr>1448A1D1ABF94C21AF5B021848B0D14C_13</vt:lpwstr>
  </property>
</Properties>
</file>