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szCs w:val="20"/>
        </w:rPr>
      </w:pPr>
      <w:bookmarkStart w:id="0" w:name="_Toc509933846"/>
      <w:bookmarkStart w:id="1" w:name="_Toc510534525"/>
    </w:p>
    <w:p>
      <w:pPr>
        <w:spacing w:line="400" w:lineRule="exact"/>
        <w:ind w:firstLine="0" w:firstLineChars="0"/>
        <w:jc w:val="left"/>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rPr>
        <w:t>ICS</w:t>
      </w:r>
      <w:r>
        <w:rPr>
          <w:rFonts w:hint="eastAsia" w:ascii="黑体" w:hAnsi="黑体" w:eastAsia="黑体" w:cs="黑体"/>
          <w:sz w:val="21"/>
          <w:szCs w:val="21"/>
          <w:highlight w:val="none"/>
          <w:lang w:val="en-US" w:eastAsia="zh-CN"/>
        </w:rPr>
        <w:t xml:space="preserve"> 11.140</w:t>
      </w:r>
    </w:p>
    <w:p>
      <w:pPr>
        <w:spacing w:line="400" w:lineRule="exact"/>
        <w:ind w:firstLine="0" w:firstLineChars="0"/>
        <w:jc w:val="left"/>
        <w:rPr>
          <w:rFonts w:hint="eastAsia" w:ascii="黑体" w:hAnsi="黑体" w:eastAsia="黑体" w:cs="黑体"/>
          <w:sz w:val="21"/>
          <w:szCs w:val="21"/>
          <w:highlight w:val="none"/>
        </w:rPr>
      </w:pPr>
      <w:r>
        <w:rPr>
          <w:rFonts w:hint="eastAsia" w:ascii="黑体" w:hAnsi="黑体" w:eastAsia="黑体" w:cs="黑体"/>
          <w:sz w:val="21"/>
          <w:szCs w:val="21"/>
          <w:highlight w:val="none"/>
          <w:lang w:val="en-US" w:eastAsia="zh-CN"/>
        </w:rPr>
        <w:t>CCS C 46</w:t>
      </w:r>
    </w:p>
    <w:p>
      <w:pPr>
        <w:spacing w:before="312" w:beforeLines="100" w:after="312" w:afterLines="100"/>
        <w:ind w:firstLine="0" w:firstLineChars="0"/>
        <w:jc w:val="center"/>
        <w:rPr>
          <w:rFonts w:hint="eastAsia" w:ascii="宋体" w:hAnsi="宋体"/>
          <w:sz w:val="96"/>
          <w:szCs w:val="28"/>
          <w:highlight w:val="none"/>
        </w:rPr>
      </w:pPr>
      <w:r>
        <w:rPr>
          <w:rFonts w:hint="eastAsia" w:ascii="宋体" w:hAnsi="宋体"/>
          <w:sz w:val="96"/>
          <w:szCs w:val="28"/>
          <w:highlight w:val="none"/>
        </w:rPr>
        <w:t xml:space="preserve">团 </w:t>
      </w:r>
      <w:r>
        <w:rPr>
          <w:rFonts w:ascii="宋体" w:hAnsi="宋体"/>
          <w:sz w:val="96"/>
          <w:szCs w:val="28"/>
          <w:highlight w:val="none"/>
        </w:rPr>
        <w:t xml:space="preserve"> </w:t>
      </w:r>
      <w:r>
        <w:rPr>
          <w:rFonts w:hint="eastAsia" w:ascii="宋体" w:hAnsi="宋体"/>
          <w:sz w:val="96"/>
          <w:szCs w:val="28"/>
          <w:highlight w:val="none"/>
        </w:rPr>
        <w:t xml:space="preserve">体 </w:t>
      </w:r>
      <w:r>
        <w:rPr>
          <w:rFonts w:ascii="宋体" w:hAnsi="宋体"/>
          <w:sz w:val="96"/>
          <w:szCs w:val="28"/>
          <w:highlight w:val="none"/>
        </w:rPr>
        <w:t xml:space="preserve"> </w:t>
      </w:r>
      <w:r>
        <w:rPr>
          <w:rFonts w:hint="eastAsia" w:ascii="宋体" w:hAnsi="宋体"/>
          <w:sz w:val="96"/>
          <w:szCs w:val="28"/>
          <w:highlight w:val="none"/>
        </w:rPr>
        <w:t xml:space="preserve">标 </w:t>
      </w:r>
      <w:r>
        <w:rPr>
          <w:rFonts w:ascii="宋体" w:hAnsi="宋体"/>
          <w:sz w:val="96"/>
          <w:szCs w:val="28"/>
          <w:highlight w:val="none"/>
        </w:rPr>
        <w:t xml:space="preserve"> </w:t>
      </w:r>
      <w:r>
        <w:rPr>
          <w:rFonts w:hint="eastAsia" w:ascii="宋体" w:hAnsi="宋体"/>
          <w:sz w:val="96"/>
          <w:szCs w:val="28"/>
          <w:highlight w:val="none"/>
        </w:rPr>
        <w:t>准</w:t>
      </w:r>
    </w:p>
    <w:p>
      <w:pPr>
        <w:ind w:firstLine="440"/>
        <w:jc w:val="right"/>
        <w:rPr>
          <w:rFonts w:hint="eastAsia" w:ascii="黑体" w:hAnsi="黑体" w:eastAsia="黑体"/>
          <w:sz w:val="22"/>
          <w:szCs w:val="28"/>
          <w:highlight w:val="none"/>
        </w:rPr>
      </w:pPr>
      <w:r>
        <w:rPr>
          <w:rFonts w:hint="eastAsia" w:ascii="黑体" w:hAnsi="黑体" w:eastAsia="黑体"/>
          <w:sz w:val="22"/>
          <w:szCs w:val="28"/>
          <w:highlight w:val="none"/>
        </w:rPr>
        <w:t>T</w:t>
      </w:r>
      <w:r>
        <w:rPr>
          <w:rFonts w:ascii="黑体" w:hAnsi="黑体" w:eastAsia="黑体"/>
          <w:sz w:val="22"/>
          <w:szCs w:val="28"/>
          <w:highlight w:val="none"/>
        </w:rPr>
        <w:t>/</w:t>
      </w:r>
      <w:r>
        <w:rPr>
          <w:rFonts w:hint="eastAsia" w:ascii="黑体" w:hAnsi="黑体" w:eastAsia="黑体"/>
          <w:sz w:val="22"/>
          <w:szCs w:val="28"/>
          <w:highlight w:val="none"/>
        </w:rPr>
        <w:t>BRA-CDCHE</w:t>
      </w:r>
      <w:r>
        <w:rPr>
          <w:rFonts w:hint="eastAsia"/>
          <w:highlight w:val="none"/>
        </w:rPr>
        <w:t>/</w:t>
      </w:r>
      <w:r>
        <w:rPr>
          <w:rFonts w:ascii="黑体" w:hAnsi="黑体" w:eastAsia="黑体"/>
          <w:sz w:val="22"/>
          <w:szCs w:val="28"/>
          <w:highlight w:val="none"/>
        </w:rPr>
        <w:t xml:space="preserve"> XXXX-XXXX</w:t>
      </w:r>
    </w:p>
    <w:p>
      <w:pPr>
        <w:spacing w:line="240" w:lineRule="exact"/>
        <w:ind w:firstLine="0" w:firstLineChars="0"/>
        <w:jc w:val="left"/>
        <w:rPr>
          <w:rFonts w:hint="eastAsia" w:ascii="宋体" w:hAnsi="宋体"/>
          <w:sz w:val="28"/>
          <w:szCs w:val="28"/>
          <w:highlight w:val="none"/>
          <w:u w:val="single"/>
        </w:rPr>
      </w:pPr>
      <w:r>
        <w:rPr>
          <w:rFonts w:hint="eastAsia" w:ascii="宋体" w:hAnsi="宋体"/>
          <w:sz w:val="28"/>
          <w:szCs w:val="28"/>
          <w:highlight w:val="none"/>
          <w:u w:val="single"/>
        </w:rPr>
        <w:t xml:space="preserve"> </w:t>
      </w:r>
      <w:r>
        <w:rPr>
          <w:rFonts w:ascii="宋体" w:hAnsi="宋体"/>
          <w:sz w:val="28"/>
          <w:szCs w:val="28"/>
          <w:highlight w:val="none"/>
          <w:u w:val="single"/>
        </w:rPr>
        <w:t xml:space="preserve">                                                          </w:t>
      </w:r>
    </w:p>
    <w:p>
      <w:pPr>
        <w:ind w:firstLine="560"/>
        <w:jc w:val="left"/>
        <w:rPr>
          <w:rFonts w:hint="eastAsia" w:ascii="宋体" w:hAnsi="宋体"/>
          <w:sz w:val="28"/>
          <w:szCs w:val="28"/>
          <w:highlight w:val="none"/>
        </w:rPr>
      </w:pPr>
    </w:p>
    <w:p>
      <w:pPr>
        <w:ind w:firstLine="560"/>
        <w:jc w:val="left"/>
        <w:rPr>
          <w:rFonts w:hint="eastAsia" w:ascii="宋体" w:hAnsi="宋体"/>
          <w:sz w:val="28"/>
          <w:szCs w:val="28"/>
          <w:highlight w:val="none"/>
        </w:rPr>
      </w:pPr>
    </w:p>
    <w:p>
      <w:pPr>
        <w:ind w:firstLine="560"/>
        <w:jc w:val="left"/>
        <w:rPr>
          <w:rFonts w:hint="eastAsia" w:ascii="宋体" w:hAnsi="宋体"/>
          <w:sz w:val="28"/>
          <w:szCs w:val="28"/>
          <w:highlight w:val="none"/>
        </w:rPr>
      </w:pPr>
    </w:p>
    <w:p>
      <w:pPr>
        <w:ind w:firstLine="560"/>
        <w:jc w:val="left"/>
        <w:rPr>
          <w:rFonts w:hint="eastAsia" w:ascii="宋体" w:hAnsi="宋体"/>
          <w:sz w:val="28"/>
          <w:szCs w:val="28"/>
          <w:highlight w:val="none"/>
        </w:rPr>
      </w:pPr>
    </w:p>
    <w:p>
      <w:pPr>
        <w:ind w:firstLine="560"/>
        <w:jc w:val="center"/>
        <w:rPr>
          <w:rFonts w:hint="eastAsia" w:ascii="黑体" w:hAnsi="黑体" w:eastAsia="黑体"/>
          <w:sz w:val="52"/>
          <w:szCs w:val="28"/>
          <w:highlight w:val="none"/>
          <w:lang w:val="en-US" w:eastAsia="zh-CN"/>
        </w:rPr>
      </w:pPr>
      <w:r>
        <w:rPr>
          <w:rFonts w:hint="eastAsia" w:ascii="黑体" w:hAnsi="黑体" w:eastAsia="黑体"/>
          <w:sz w:val="52"/>
          <w:szCs w:val="28"/>
          <w:highlight w:val="none"/>
          <w:lang w:val="en-US" w:eastAsia="zh-CN"/>
        </w:rPr>
        <w:t>冠状动脉介入机器人临床应用技术规范</w:t>
      </w:r>
    </w:p>
    <w:p>
      <w:pPr>
        <w:ind w:firstLine="560"/>
        <w:jc w:val="center"/>
        <w:rPr>
          <w:rFonts w:hint="eastAsia" w:ascii="等线" w:hAnsi="等线" w:eastAsia="等线"/>
          <w:sz w:val="28"/>
          <w:szCs w:val="28"/>
          <w:highlight w:val="none"/>
        </w:rPr>
      </w:pPr>
      <w:r>
        <w:rPr>
          <w:rFonts w:hint="eastAsia" w:ascii="等线" w:hAnsi="等线" w:eastAsia="等线"/>
          <w:sz w:val="28"/>
          <w:szCs w:val="28"/>
          <w:highlight w:val="none"/>
        </w:rPr>
        <w:t xml:space="preserve">Technical </w:t>
      </w:r>
      <w:r>
        <w:rPr>
          <w:rFonts w:hint="eastAsia" w:ascii="等线" w:hAnsi="等线" w:eastAsia="等线"/>
          <w:sz w:val="28"/>
          <w:szCs w:val="28"/>
          <w:highlight w:val="none"/>
          <w:lang w:val="en-US" w:eastAsia="zh-CN"/>
        </w:rPr>
        <w:t>S</w:t>
      </w:r>
      <w:r>
        <w:rPr>
          <w:rFonts w:hint="eastAsia" w:ascii="等线" w:hAnsi="等线" w:eastAsia="等线"/>
          <w:sz w:val="28"/>
          <w:szCs w:val="28"/>
          <w:highlight w:val="none"/>
        </w:rPr>
        <w:t xml:space="preserve">pecification for </w:t>
      </w:r>
      <w:r>
        <w:rPr>
          <w:rFonts w:hint="eastAsia" w:ascii="等线" w:hAnsi="等线" w:eastAsia="等线"/>
          <w:sz w:val="28"/>
          <w:szCs w:val="28"/>
          <w:highlight w:val="none"/>
          <w:lang w:val="en-US" w:eastAsia="zh-CN"/>
        </w:rPr>
        <w:t>C</w:t>
      </w:r>
      <w:r>
        <w:rPr>
          <w:rFonts w:hint="eastAsia" w:ascii="等线" w:hAnsi="等线" w:eastAsia="等线"/>
          <w:sz w:val="28"/>
          <w:szCs w:val="28"/>
          <w:highlight w:val="none"/>
        </w:rPr>
        <w:t xml:space="preserve">linical </w:t>
      </w:r>
      <w:r>
        <w:rPr>
          <w:rFonts w:hint="eastAsia" w:ascii="等线" w:hAnsi="等线" w:eastAsia="等线"/>
          <w:sz w:val="28"/>
          <w:szCs w:val="28"/>
          <w:highlight w:val="none"/>
          <w:lang w:val="en-US" w:eastAsia="zh-CN"/>
        </w:rPr>
        <w:t>A</w:t>
      </w:r>
      <w:r>
        <w:rPr>
          <w:rFonts w:hint="eastAsia" w:ascii="等线" w:hAnsi="等线" w:eastAsia="等线"/>
          <w:sz w:val="28"/>
          <w:szCs w:val="28"/>
          <w:highlight w:val="none"/>
        </w:rPr>
        <w:t xml:space="preserve">pplication of </w:t>
      </w:r>
      <w:r>
        <w:rPr>
          <w:rFonts w:hint="eastAsia" w:ascii="等线" w:hAnsi="等线" w:eastAsia="等线"/>
          <w:sz w:val="28"/>
          <w:szCs w:val="28"/>
          <w:highlight w:val="none"/>
          <w:lang w:val="en-US" w:eastAsia="zh-CN"/>
        </w:rPr>
        <w:t>R</w:t>
      </w:r>
      <w:r>
        <w:rPr>
          <w:rFonts w:hint="eastAsia" w:ascii="等线" w:hAnsi="等线" w:eastAsia="等线"/>
          <w:sz w:val="28"/>
          <w:szCs w:val="28"/>
          <w:highlight w:val="none"/>
        </w:rPr>
        <w:t xml:space="preserve">obotic-assisted </w:t>
      </w:r>
      <w:r>
        <w:rPr>
          <w:rFonts w:hint="eastAsia" w:ascii="等线" w:hAnsi="等线" w:eastAsia="等线"/>
          <w:sz w:val="28"/>
          <w:szCs w:val="28"/>
          <w:highlight w:val="none"/>
          <w:lang w:val="en-US" w:eastAsia="zh-CN"/>
        </w:rPr>
        <w:t>P</w:t>
      </w:r>
      <w:r>
        <w:rPr>
          <w:rFonts w:hint="eastAsia" w:ascii="等线" w:hAnsi="等线" w:eastAsia="等线"/>
          <w:sz w:val="28"/>
          <w:szCs w:val="28"/>
          <w:highlight w:val="none"/>
        </w:rPr>
        <w:t xml:space="preserve">ercutaneous </w:t>
      </w:r>
      <w:r>
        <w:rPr>
          <w:rFonts w:hint="eastAsia" w:ascii="等线" w:hAnsi="等线" w:eastAsia="等线"/>
          <w:sz w:val="28"/>
          <w:szCs w:val="28"/>
          <w:highlight w:val="none"/>
          <w:lang w:val="en-US" w:eastAsia="zh-CN"/>
        </w:rPr>
        <w:t>C</w:t>
      </w:r>
      <w:r>
        <w:rPr>
          <w:rFonts w:hint="eastAsia" w:ascii="等线" w:hAnsi="等线" w:eastAsia="等线"/>
          <w:sz w:val="28"/>
          <w:szCs w:val="28"/>
          <w:highlight w:val="none"/>
        </w:rPr>
        <w:t xml:space="preserve">oronary </w:t>
      </w:r>
      <w:r>
        <w:rPr>
          <w:rFonts w:hint="eastAsia" w:ascii="等线" w:hAnsi="等线" w:eastAsia="等线"/>
          <w:sz w:val="28"/>
          <w:szCs w:val="28"/>
          <w:highlight w:val="none"/>
          <w:lang w:val="en-US" w:eastAsia="zh-CN"/>
        </w:rPr>
        <w:t>I</w:t>
      </w:r>
      <w:r>
        <w:rPr>
          <w:rFonts w:hint="eastAsia" w:ascii="等线" w:hAnsi="等线" w:eastAsia="等线"/>
          <w:sz w:val="28"/>
          <w:szCs w:val="28"/>
          <w:highlight w:val="none"/>
        </w:rPr>
        <w:t>ntervention</w:t>
      </w:r>
    </w:p>
    <w:p>
      <w:pPr>
        <w:ind w:firstLine="0" w:firstLineChars="0"/>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在提交反馈意见时,请将您知道的相关专利连同支持性文件一并附上。</w:t>
      </w:r>
    </w:p>
    <w:p>
      <w:pPr>
        <w:ind w:firstLine="560"/>
        <w:jc w:val="left"/>
        <w:rPr>
          <w:rFonts w:hint="eastAsia" w:ascii="宋体" w:hAnsi="宋体"/>
          <w:sz w:val="28"/>
          <w:szCs w:val="28"/>
          <w:highlight w:val="none"/>
        </w:rPr>
      </w:pPr>
    </w:p>
    <w:p>
      <w:pPr>
        <w:ind w:firstLine="0"/>
        <w:jc w:val="left"/>
        <w:rPr>
          <w:rFonts w:hint="eastAsia" w:ascii="宋体" w:hAnsi="宋体"/>
          <w:sz w:val="28"/>
          <w:szCs w:val="28"/>
          <w:highlight w:val="none"/>
        </w:rPr>
      </w:pPr>
    </w:p>
    <w:p>
      <w:pPr>
        <w:ind w:firstLine="0"/>
        <w:jc w:val="left"/>
        <w:rPr>
          <w:rFonts w:hint="eastAsia" w:ascii="宋体" w:hAnsi="宋体"/>
          <w:sz w:val="28"/>
          <w:szCs w:val="28"/>
          <w:highlight w:val="none"/>
        </w:rPr>
      </w:pPr>
    </w:p>
    <w:p>
      <w:pPr>
        <w:ind w:firstLine="240" w:firstLineChars="100"/>
        <w:jc w:val="left"/>
        <w:rPr>
          <w:rFonts w:hint="eastAsia" w:ascii="宋体" w:hAnsi="宋体"/>
          <w:sz w:val="28"/>
          <w:szCs w:val="28"/>
          <w:highlight w:val="none"/>
          <w:u w:val="single"/>
        </w:rPr>
      </w:pPr>
      <w:r>
        <w:rPr>
          <w:rFonts w:hint="eastAsia" w:ascii="黑体" w:hAnsi="黑体" w:eastAsia="黑体" w:cs="黑体"/>
          <w:sz w:val="24"/>
          <w:szCs w:val="24"/>
          <w:highlight w:val="none"/>
          <w:u w:val="single"/>
          <w:lang w:val="en-US" w:eastAsia="zh-CN"/>
        </w:rPr>
        <w:t>2026</w:t>
      </w:r>
      <w:r>
        <w:rPr>
          <w:rFonts w:hint="eastAsia" w:ascii="黑体" w:hAnsi="黑体" w:eastAsia="黑体" w:cs="黑体"/>
          <w:sz w:val="24"/>
          <w:szCs w:val="24"/>
          <w:highlight w:val="none"/>
          <w:u w:val="single"/>
        </w:rPr>
        <w:t>年</w:t>
      </w:r>
      <w:r>
        <w:rPr>
          <w:rFonts w:hint="eastAsia" w:ascii="黑体" w:hAnsi="黑体" w:eastAsia="黑体" w:cs="黑体"/>
          <w:sz w:val="24"/>
          <w:szCs w:val="24"/>
          <w:highlight w:val="none"/>
          <w:u w:val="single"/>
          <w:lang w:val="en-US" w:eastAsia="zh-CN"/>
        </w:rPr>
        <w:t>XX</w:t>
      </w:r>
      <w:r>
        <w:rPr>
          <w:rFonts w:hint="eastAsia" w:ascii="黑体" w:hAnsi="黑体" w:eastAsia="黑体" w:cs="黑体"/>
          <w:sz w:val="24"/>
          <w:szCs w:val="24"/>
          <w:highlight w:val="none"/>
          <w:u w:val="single"/>
        </w:rPr>
        <w:t>月</w:t>
      </w:r>
      <w:r>
        <w:rPr>
          <w:rFonts w:hint="eastAsia" w:ascii="黑体" w:hAnsi="黑体" w:eastAsia="黑体" w:cs="黑体"/>
          <w:sz w:val="24"/>
          <w:szCs w:val="24"/>
          <w:highlight w:val="none"/>
          <w:u w:val="single"/>
          <w:lang w:val="en-US" w:eastAsia="zh-CN"/>
        </w:rPr>
        <w:t>XX</w:t>
      </w:r>
      <w:r>
        <w:rPr>
          <w:rFonts w:hint="eastAsia" w:ascii="黑体" w:hAnsi="黑体" w:eastAsia="黑体" w:cs="黑体"/>
          <w:sz w:val="24"/>
          <w:szCs w:val="24"/>
          <w:highlight w:val="none"/>
          <w:u w:val="single"/>
        </w:rPr>
        <w:t>日</w:t>
      </w:r>
      <w:r>
        <w:rPr>
          <w:rFonts w:hint="eastAsia" w:ascii="黑体" w:hAnsi="黑体" w:eastAsia="黑体" w:cs="黑体"/>
          <w:sz w:val="24"/>
          <w:szCs w:val="24"/>
          <w:highlight w:val="none"/>
          <w:u w:val="single"/>
          <w:lang w:val="en-US" w:eastAsia="zh-CN"/>
        </w:rPr>
        <w:t>发布</w:t>
      </w:r>
      <w:r>
        <w:rPr>
          <w:rFonts w:hint="eastAsia" w:ascii="黑体" w:hAnsi="黑体" w:eastAsia="黑体" w:cs="黑体"/>
          <w:sz w:val="24"/>
          <w:szCs w:val="24"/>
          <w:highlight w:val="none"/>
          <w:u w:val="single"/>
        </w:rPr>
        <w:t xml:space="preserve">           </w:t>
      </w:r>
      <w:r>
        <w:rPr>
          <w:rFonts w:hint="eastAsia" w:ascii="黑体" w:hAnsi="黑体" w:eastAsia="黑体" w:cs="黑体"/>
          <w:sz w:val="24"/>
          <w:szCs w:val="24"/>
          <w:highlight w:val="none"/>
          <w:u w:val="single"/>
          <w:lang w:val="en-US" w:eastAsia="zh-CN"/>
        </w:rPr>
        <w:t xml:space="preserve">         </w:t>
      </w:r>
      <w:r>
        <w:rPr>
          <w:rFonts w:hint="eastAsia" w:ascii="黑体" w:hAnsi="黑体" w:eastAsia="黑体" w:cs="黑体"/>
          <w:sz w:val="24"/>
          <w:szCs w:val="24"/>
          <w:highlight w:val="none"/>
          <w:u w:val="single"/>
        </w:rPr>
        <w:t xml:space="preserve">  </w:t>
      </w:r>
      <w:r>
        <w:rPr>
          <w:rFonts w:hint="eastAsia" w:ascii="黑体" w:hAnsi="黑体" w:eastAsia="黑体" w:cs="黑体"/>
          <w:sz w:val="24"/>
          <w:szCs w:val="24"/>
          <w:highlight w:val="none"/>
          <w:u w:val="single"/>
          <w:lang w:val="en-US" w:eastAsia="zh-CN"/>
        </w:rPr>
        <w:t xml:space="preserve">   2026</w:t>
      </w:r>
      <w:r>
        <w:rPr>
          <w:rFonts w:hint="eastAsia" w:ascii="黑体" w:hAnsi="黑体" w:eastAsia="黑体" w:cs="黑体"/>
          <w:sz w:val="24"/>
          <w:szCs w:val="24"/>
          <w:highlight w:val="none"/>
          <w:u w:val="single"/>
        </w:rPr>
        <w:t>年</w:t>
      </w:r>
      <w:r>
        <w:rPr>
          <w:rFonts w:hint="eastAsia" w:ascii="黑体" w:hAnsi="黑体" w:eastAsia="黑体" w:cs="黑体"/>
          <w:sz w:val="24"/>
          <w:szCs w:val="24"/>
          <w:highlight w:val="none"/>
          <w:u w:val="single"/>
          <w:lang w:val="en-US" w:eastAsia="zh-CN"/>
        </w:rPr>
        <w:t>XX</w:t>
      </w:r>
      <w:r>
        <w:rPr>
          <w:rFonts w:hint="eastAsia" w:ascii="黑体" w:hAnsi="黑体" w:eastAsia="黑体" w:cs="黑体"/>
          <w:sz w:val="24"/>
          <w:szCs w:val="24"/>
          <w:highlight w:val="none"/>
          <w:u w:val="single"/>
        </w:rPr>
        <w:t>月</w:t>
      </w:r>
      <w:r>
        <w:rPr>
          <w:rFonts w:hint="eastAsia" w:ascii="黑体" w:hAnsi="黑体" w:eastAsia="黑体" w:cs="黑体"/>
          <w:sz w:val="24"/>
          <w:szCs w:val="24"/>
          <w:highlight w:val="none"/>
          <w:u w:val="single"/>
          <w:lang w:val="en-US" w:eastAsia="zh-CN"/>
        </w:rPr>
        <w:t>XX</w:t>
      </w:r>
      <w:bookmarkStart w:id="113" w:name="_GoBack"/>
      <w:bookmarkEnd w:id="113"/>
      <w:r>
        <w:rPr>
          <w:rFonts w:hint="eastAsia" w:ascii="黑体" w:hAnsi="黑体" w:eastAsia="黑体" w:cs="黑体"/>
          <w:sz w:val="24"/>
          <w:szCs w:val="24"/>
          <w:highlight w:val="none"/>
          <w:u w:val="single"/>
        </w:rPr>
        <w:t>日实施</w:t>
      </w:r>
    </w:p>
    <w:p>
      <w:pPr>
        <w:ind w:firstLine="800"/>
        <w:jc w:val="center"/>
        <w:rPr>
          <w:rFonts w:hint="eastAsia" w:ascii="宋体" w:hAnsi="宋体" w:eastAsia="黑体"/>
          <w:sz w:val="28"/>
          <w:szCs w:val="28"/>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黑体" w:hAnsi="黑体" w:eastAsia="黑体"/>
          <w:i w:val="0"/>
          <w:iCs w:val="0"/>
          <w:color w:val="auto"/>
          <w:sz w:val="28"/>
          <w:szCs w:val="28"/>
          <w:highlight w:val="none"/>
          <w:lang w:val="en-US" w:eastAsia="zh-CN"/>
        </w:rPr>
        <w:t>北京慢性病防治与健康教育研究会</w:t>
      </w:r>
      <w:r>
        <w:rPr>
          <w:rFonts w:hint="eastAsia" w:ascii="黑体" w:hAnsi="黑体" w:eastAsia="黑体"/>
          <w:sz w:val="28"/>
          <w:szCs w:val="28"/>
          <w:highlight w:val="none"/>
        </w:rPr>
        <w:t>发</w:t>
      </w:r>
      <w:r>
        <w:rPr>
          <w:rFonts w:hint="eastAsia" w:ascii="黑体" w:hAnsi="黑体" w:eastAsia="黑体"/>
          <w:sz w:val="28"/>
          <w:szCs w:val="28"/>
          <w:highlight w:val="none"/>
          <w:lang w:val="en-US" w:eastAsia="zh-CN"/>
        </w:rPr>
        <w:t>布</w:t>
      </w:r>
    </w:p>
    <w:p>
      <w:pPr>
        <w:pStyle w:val="22"/>
        <w:keepNext w:val="0"/>
        <w:keepLines w:val="0"/>
        <w:pageBreakBefore w:val="0"/>
        <w:tabs>
          <w:tab w:val="left" w:pos="229"/>
          <w:tab w:val="center" w:pos="4215"/>
        </w:tabs>
        <w:kinsoku/>
        <w:wordWrap/>
        <w:overflowPunct/>
        <w:topLinePunct w:val="0"/>
        <w:bidi w:val="0"/>
        <w:adjustRightInd/>
        <w:spacing w:line="360" w:lineRule="exact"/>
        <w:jc w:val="left"/>
        <w:textAlignment w:val="auto"/>
        <w:outlineLvl w:val="9"/>
      </w:pPr>
      <w:r>
        <w:rPr>
          <w:rFonts w:hint="eastAsia" w:hAnsi="黑体"/>
          <w:b/>
          <w:bCs/>
          <w:i w:val="0"/>
          <w:iCs w:val="0"/>
          <w:color w:val="auto"/>
          <w:lang w:eastAsia="zh-CN"/>
        </w:rPr>
        <w:tab/>
      </w:r>
      <w:r>
        <w:rPr>
          <w:rFonts w:hint="eastAsia" w:hAnsi="黑体"/>
          <w:b/>
          <w:bCs/>
          <w:i w:val="0"/>
          <w:iCs w:val="0"/>
          <w:color w:val="auto"/>
          <w:lang w:eastAsia="zh-CN"/>
        </w:rPr>
        <w:tab/>
      </w:r>
      <w:r>
        <w:rPr>
          <w:rFonts w:hint="eastAsia" w:hAnsi="黑体"/>
          <w:b/>
          <w:bCs/>
          <w:i w:val="0"/>
          <w:iCs w:val="0"/>
          <w:color w:val="auto"/>
        </w:rPr>
        <w:t>目</w:t>
      </w:r>
      <w:bookmarkStart w:id="2" w:name="BKML"/>
      <w:r>
        <w:rPr>
          <w:rFonts w:hAnsi="黑体"/>
          <w:b/>
          <w:bCs/>
          <w:i w:val="0"/>
          <w:iCs w:val="0"/>
          <w:color w:val="auto"/>
        </w:rPr>
        <w:t> </w:t>
      </w:r>
      <w:r>
        <w:rPr>
          <w:rFonts w:hint="eastAsia" w:hAnsi="黑体"/>
          <w:b/>
          <w:bCs/>
          <w:i w:val="0"/>
          <w:iCs w:val="0"/>
          <w:color w:val="auto"/>
        </w:rPr>
        <w:t>次</w:t>
      </w:r>
      <w:bookmarkEnd w:id="0"/>
      <w:bookmarkEnd w:id="1"/>
      <w:bookmarkEnd w:id="2"/>
    </w:p>
    <w:sdt>
      <w:sdtPr>
        <w:rPr>
          <w:rFonts w:ascii="宋体" w:hAnsi="宋体" w:eastAsia="宋体" w:cstheme="minorBidi"/>
          <w:kern w:val="2"/>
          <w:sz w:val="21"/>
          <w:szCs w:val="22"/>
          <w:lang w:val="en-US" w:eastAsia="zh-CN" w:bidi="ar-SA"/>
        </w:rPr>
        <w:id w:val="505894714"/>
        <w15:color w:val="DBDBDB"/>
        <w:docPartObj>
          <w:docPartGallery w:val="Table of Contents"/>
          <w:docPartUnique/>
        </w:docPartObj>
      </w:sdtPr>
      <w:sdtEndPr>
        <w:rPr>
          <w:rFonts w:hint="eastAsia" w:ascii="宋体" w:hAnsi="宋体" w:eastAsia="宋体" w:cs="宋体"/>
          <w:kern w:val="2"/>
          <w:sz w:val="21"/>
          <w:szCs w:val="21"/>
          <w:lang w:val="en-US" w:eastAsia="zh-CN" w:bidi="ar-SA"/>
        </w:rPr>
      </w:sdtEndPr>
      <w:sdtContent>
        <w:p>
          <w:pPr>
            <w:pStyle w:val="22"/>
            <w:keepNext w:val="0"/>
            <w:keepLines w:val="0"/>
            <w:pageBreakBefore w:val="0"/>
            <w:tabs>
              <w:tab w:val="left" w:pos="229"/>
              <w:tab w:val="center" w:pos="4215"/>
            </w:tabs>
            <w:kinsoku/>
            <w:wordWrap/>
            <w:overflowPunct/>
            <w:topLinePunct w:val="0"/>
            <w:bidi w:val="0"/>
            <w:adjustRightInd/>
            <w:spacing w:line="360" w:lineRule="exact"/>
            <w:jc w:val="left"/>
            <w:textAlignment w:val="auto"/>
            <w:outlineLvl w:val="9"/>
          </w:pP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TOC \o "1-3" \h \u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_Toc116737173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rPr>
            <w:t>前言</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_Toc116737173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IV</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_Toc1349096900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rPr>
            <w:t>引言</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_Toc1349096900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V</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_Toc1139253274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lang w:val="en-US" w:eastAsia="zh-CN"/>
            </w:rPr>
            <w:t xml:space="preserve">1 </w:t>
          </w:r>
          <w:r>
            <w:rPr>
              <w:rFonts w:hint="eastAsia" w:ascii="宋体" w:hAnsi="宋体" w:eastAsia="宋体" w:cs="宋体"/>
              <w:b w:val="0"/>
              <w:bCs w:val="0"/>
              <w:i w:val="0"/>
              <w:iCs w:val="0"/>
              <w:sz w:val="21"/>
              <w:szCs w:val="21"/>
            </w:rPr>
            <w:t>范围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_Toc1139253274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_Toc465579466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lang w:val="en-US" w:eastAsia="zh-CN"/>
            </w:rPr>
            <w:t xml:space="preserve">2 </w:t>
          </w:r>
          <w:r>
            <w:rPr>
              <w:rFonts w:hint="eastAsia" w:ascii="宋体" w:hAnsi="宋体" w:eastAsia="宋体" w:cs="宋体"/>
              <w:b w:val="0"/>
              <w:bCs w:val="0"/>
              <w:i w:val="0"/>
              <w:iCs w:val="0"/>
              <w:sz w:val="21"/>
              <w:szCs w:val="21"/>
            </w:rPr>
            <w:t>规范性引用文件</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_Toc465579466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8"/>
            <w:tabs>
              <w:tab w:val="right" w:leader="dot" w:pos="8312"/>
            </w:tabs>
            <w:rPr>
              <w:rFonts w:hint="eastAsia" w:ascii="宋体" w:hAnsi="宋体" w:eastAsia="宋体" w:cs="宋体"/>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_Toc1711159041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lang w:val="en-US" w:eastAsia="zh-CN"/>
            </w:rPr>
            <w:t xml:space="preserve">3 </w:t>
          </w:r>
          <w:r>
            <w:rPr>
              <w:rFonts w:hint="eastAsia" w:ascii="宋体" w:hAnsi="宋体" w:eastAsia="宋体" w:cs="宋体"/>
              <w:b w:val="0"/>
              <w:bCs w:val="0"/>
              <w:i w:val="0"/>
              <w:iCs w:val="0"/>
              <w:sz w:val="21"/>
              <w:szCs w:val="21"/>
            </w:rPr>
            <w:t>术语和定义</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_Toc1711159041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_Toc1900800439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kern w:val="2"/>
              <w:sz w:val="21"/>
              <w:szCs w:val="21"/>
              <w:lang w:val="en-US" w:eastAsia="zh-CN" w:bidi="ar-SA"/>
            </w:rPr>
            <w:t>4 临床应用要求</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_Toc1900800439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2</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_Toc786245501 </w:instrText>
          </w:r>
          <w:r>
            <w:rPr>
              <w:rFonts w:hint="eastAsia" w:ascii="宋体" w:hAnsi="宋体" w:eastAsia="宋体" w:cs="宋体"/>
              <w:szCs w:val="21"/>
            </w:rPr>
            <w:fldChar w:fldCharType="separate"/>
          </w:r>
          <w:r>
            <w:rPr>
              <w:rFonts w:hint="eastAsia" w:ascii="宋体" w:hAnsi="宋体" w:eastAsia="宋体" w:cs="宋体"/>
              <w:i w:val="0"/>
              <w:iCs w:val="0"/>
              <w:kern w:val="2"/>
              <w:szCs w:val="21"/>
              <w:lang w:val="en-US" w:eastAsia="zh-CN" w:bidi="ar-SA"/>
            </w:rPr>
            <w:t>4.1 适应证</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_Toc786245501 \h </w:instrText>
          </w:r>
          <w:r>
            <w:rPr>
              <w:rFonts w:hint="eastAsia" w:ascii="宋体" w:hAnsi="宋体" w:eastAsia="宋体" w:cs="宋体"/>
              <w:szCs w:val="21"/>
            </w:rPr>
            <w:fldChar w:fldCharType="separate"/>
          </w:r>
          <w:r>
            <w:rPr>
              <w:rFonts w:hint="eastAsia" w:ascii="宋体" w:hAnsi="宋体" w:eastAsia="宋体" w:cs="宋体"/>
              <w:szCs w:val="21"/>
            </w:rPr>
            <w:t>2</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_Toc961255316 </w:instrText>
          </w:r>
          <w:r>
            <w:rPr>
              <w:rFonts w:hint="eastAsia" w:ascii="宋体" w:hAnsi="宋体" w:eastAsia="宋体" w:cs="宋体"/>
              <w:szCs w:val="21"/>
            </w:rPr>
            <w:fldChar w:fldCharType="separate"/>
          </w:r>
          <w:r>
            <w:rPr>
              <w:rFonts w:hint="eastAsia" w:ascii="宋体" w:hAnsi="宋体" w:eastAsia="宋体" w:cs="宋体"/>
              <w:i w:val="0"/>
              <w:iCs w:val="0"/>
              <w:kern w:val="2"/>
              <w:szCs w:val="21"/>
              <w:lang w:val="en-US" w:eastAsia="zh-CN" w:bidi="ar-SA"/>
            </w:rPr>
            <w:t>4.2 禁忌证</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_Toc961255316 \h </w:instrText>
          </w:r>
          <w:r>
            <w:rPr>
              <w:rFonts w:hint="eastAsia" w:ascii="宋体" w:hAnsi="宋体" w:eastAsia="宋体" w:cs="宋体"/>
              <w:szCs w:val="21"/>
            </w:rPr>
            <w:fldChar w:fldCharType="separate"/>
          </w:r>
          <w:r>
            <w:rPr>
              <w:rFonts w:hint="eastAsia" w:ascii="宋体" w:hAnsi="宋体" w:eastAsia="宋体" w:cs="宋体"/>
              <w:szCs w:val="21"/>
            </w:rPr>
            <w:t>2</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_Toc298619631 </w:instrText>
          </w:r>
          <w:r>
            <w:rPr>
              <w:rFonts w:hint="eastAsia" w:ascii="宋体" w:hAnsi="宋体" w:eastAsia="宋体" w:cs="宋体"/>
              <w:szCs w:val="21"/>
            </w:rPr>
            <w:fldChar w:fldCharType="separate"/>
          </w:r>
          <w:r>
            <w:rPr>
              <w:rFonts w:hint="eastAsia" w:ascii="宋体" w:hAnsi="宋体" w:eastAsia="宋体" w:cs="宋体"/>
              <w:i w:val="0"/>
              <w:iCs w:val="0"/>
              <w:szCs w:val="21"/>
            </w:rPr>
            <w:t>4.3 人员资质要求</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_Toc298619631 \h </w:instrText>
          </w:r>
          <w:r>
            <w:rPr>
              <w:rFonts w:hint="eastAsia" w:ascii="宋体" w:hAnsi="宋体" w:eastAsia="宋体" w:cs="宋体"/>
              <w:szCs w:val="21"/>
            </w:rPr>
            <w:fldChar w:fldCharType="separate"/>
          </w:r>
          <w:r>
            <w:rPr>
              <w:rFonts w:hint="eastAsia" w:ascii="宋体" w:hAnsi="宋体" w:eastAsia="宋体" w:cs="宋体"/>
              <w:szCs w:val="21"/>
            </w:rPr>
            <w:t>2</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_Toc230855178 </w:instrText>
          </w:r>
          <w:r>
            <w:rPr>
              <w:rFonts w:hint="eastAsia" w:ascii="宋体" w:hAnsi="宋体" w:eastAsia="宋体" w:cs="宋体"/>
              <w:szCs w:val="21"/>
            </w:rPr>
            <w:fldChar w:fldCharType="separate"/>
          </w:r>
          <w:r>
            <w:rPr>
              <w:rFonts w:hint="eastAsia" w:ascii="宋体" w:hAnsi="宋体" w:eastAsia="宋体" w:cs="宋体"/>
              <w:i w:val="0"/>
              <w:iCs w:val="0"/>
              <w:szCs w:val="21"/>
            </w:rPr>
            <w:t>4.3.1 基本要求</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_Toc230855178 \h </w:instrText>
          </w:r>
          <w:r>
            <w:rPr>
              <w:rFonts w:hint="eastAsia" w:ascii="宋体" w:hAnsi="宋体" w:eastAsia="宋体" w:cs="宋体"/>
              <w:szCs w:val="21"/>
            </w:rPr>
            <w:fldChar w:fldCharType="separate"/>
          </w:r>
          <w:r>
            <w:rPr>
              <w:rFonts w:hint="eastAsia" w:ascii="宋体" w:hAnsi="宋体" w:eastAsia="宋体" w:cs="宋体"/>
              <w:szCs w:val="21"/>
            </w:rPr>
            <w:t>2</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_Toc1627510164 </w:instrText>
          </w:r>
          <w:r>
            <w:rPr>
              <w:rFonts w:hint="eastAsia" w:ascii="宋体" w:hAnsi="宋体" w:eastAsia="宋体" w:cs="宋体"/>
              <w:szCs w:val="21"/>
            </w:rPr>
            <w:fldChar w:fldCharType="separate"/>
          </w:r>
          <w:r>
            <w:rPr>
              <w:rFonts w:hint="eastAsia" w:ascii="宋体" w:hAnsi="宋体" w:eastAsia="宋体" w:cs="宋体"/>
              <w:i w:val="0"/>
              <w:iCs w:val="0"/>
              <w:szCs w:val="21"/>
            </w:rPr>
            <w:t>4.3.2 团队构成与协作</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_Toc1627510164 \h </w:instrText>
          </w:r>
          <w:r>
            <w:rPr>
              <w:rFonts w:hint="eastAsia" w:ascii="宋体" w:hAnsi="宋体" w:eastAsia="宋体" w:cs="宋体"/>
              <w:szCs w:val="21"/>
            </w:rPr>
            <w:fldChar w:fldCharType="separate"/>
          </w:r>
          <w:r>
            <w:rPr>
              <w:rFonts w:hint="eastAsia" w:ascii="宋体" w:hAnsi="宋体" w:eastAsia="宋体" w:cs="宋体"/>
              <w:szCs w:val="21"/>
            </w:rPr>
            <w:t>2</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_Toc1064114509 </w:instrText>
          </w:r>
          <w:r>
            <w:rPr>
              <w:rFonts w:hint="eastAsia" w:ascii="宋体" w:hAnsi="宋体" w:eastAsia="宋体" w:cs="宋体"/>
              <w:szCs w:val="21"/>
            </w:rPr>
            <w:fldChar w:fldCharType="separate"/>
          </w:r>
          <w:r>
            <w:rPr>
              <w:rFonts w:hint="eastAsia" w:ascii="宋体" w:hAnsi="宋体" w:eastAsia="宋体" w:cs="宋体"/>
              <w:i w:val="0"/>
              <w:iCs w:val="0"/>
              <w:szCs w:val="21"/>
            </w:rPr>
            <w:t>4.3.3 培训与准入考核</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_Toc1064114509 \h </w:instrText>
          </w:r>
          <w:r>
            <w:rPr>
              <w:rFonts w:hint="eastAsia" w:ascii="宋体" w:hAnsi="宋体" w:eastAsia="宋体" w:cs="宋体"/>
              <w:szCs w:val="21"/>
            </w:rPr>
            <w:fldChar w:fldCharType="separate"/>
          </w:r>
          <w:r>
            <w:rPr>
              <w:rFonts w:hint="eastAsia" w:ascii="宋体" w:hAnsi="宋体" w:eastAsia="宋体" w:cs="宋体"/>
              <w:szCs w:val="21"/>
            </w:rPr>
            <w:t>2</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_Toc328740547 </w:instrText>
          </w:r>
          <w:r>
            <w:rPr>
              <w:rFonts w:hint="eastAsia" w:ascii="宋体" w:hAnsi="宋体" w:eastAsia="宋体" w:cs="宋体"/>
              <w:szCs w:val="21"/>
            </w:rPr>
            <w:fldChar w:fldCharType="separate"/>
          </w:r>
          <w:r>
            <w:rPr>
              <w:rFonts w:hint="eastAsia" w:ascii="宋体" w:hAnsi="宋体" w:eastAsia="宋体" w:cs="宋体"/>
              <w:i w:val="0"/>
              <w:iCs w:val="0"/>
              <w:szCs w:val="21"/>
              <w:lang w:val="en-US" w:eastAsia="zh-CN"/>
            </w:rPr>
            <w:t>4.4 设备与环境要求</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_Toc328740547 \h </w:instrText>
          </w:r>
          <w:r>
            <w:rPr>
              <w:rFonts w:hint="eastAsia" w:ascii="宋体" w:hAnsi="宋体" w:eastAsia="宋体" w:cs="宋体"/>
              <w:szCs w:val="21"/>
            </w:rPr>
            <w:fldChar w:fldCharType="separate"/>
          </w:r>
          <w:r>
            <w:rPr>
              <w:rFonts w:hint="eastAsia" w:ascii="宋体" w:hAnsi="宋体" w:eastAsia="宋体" w:cs="宋体"/>
              <w:szCs w:val="21"/>
            </w:rPr>
            <w:t>2</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_Toc1814433345 </w:instrText>
          </w:r>
          <w:r>
            <w:rPr>
              <w:rFonts w:hint="eastAsia" w:ascii="宋体" w:hAnsi="宋体" w:eastAsia="宋体" w:cs="宋体"/>
              <w:szCs w:val="21"/>
            </w:rPr>
            <w:fldChar w:fldCharType="separate"/>
          </w:r>
          <w:r>
            <w:rPr>
              <w:rFonts w:hint="eastAsia" w:ascii="宋体" w:hAnsi="宋体" w:eastAsia="宋体" w:cs="宋体"/>
              <w:i w:val="0"/>
              <w:iCs w:val="0"/>
              <w:szCs w:val="21"/>
            </w:rPr>
            <w:t>4.4.1 手术室条件</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_Toc1814433345 \h </w:instrText>
          </w:r>
          <w:r>
            <w:rPr>
              <w:rFonts w:hint="eastAsia" w:ascii="宋体" w:hAnsi="宋体" w:eastAsia="宋体" w:cs="宋体"/>
              <w:szCs w:val="21"/>
            </w:rPr>
            <w:fldChar w:fldCharType="separate"/>
          </w:r>
          <w:r>
            <w:rPr>
              <w:rFonts w:hint="eastAsia" w:ascii="宋体" w:hAnsi="宋体" w:eastAsia="宋体" w:cs="宋体"/>
              <w:szCs w:val="21"/>
            </w:rPr>
            <w:t>2</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_Toc913442015 </w:instrText>
          </w:r>
          <w:r>
            <w:rPr>
              <w:rFonts w:hint="eastAsia" w:ascii="宋体" w:hAnsi="宋体" w:eastAsia="宋体" w:cs="宋体"/>
              <w:szCs w:val="21"/>
            </w:rPr>
            <w:fldChar w:fldCharType="separate"/>
          </w:r>
          <w:r>
            <w:rPr>
              <w:rFonts w:hint="eastAsia" w:ascii="宋体" w:hAnsi="宋体" w:eastAsia="宋体" w:cs="宋体"/>
              <w:i w:val="0"/>
              <w:iCs w:val="0"/>
              <w:szCs w:val="21"/>
            </w:rPr>
            <w:t>4.4.2 系统安装与接口</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_Toc913442015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_Toc2006837349 </w:instrText>
          </w:r>
          <w:r>
            <w:rPr>
              <w:rFonts w:hint="eastAsia" w:ascii="宋体" w:hAnsi="宋体" w:eastAsia="宋体" w:cs="宋体"/>
              <w:szCs w:val="21"/>
            </w:rPr>
            <w:fldChar w:fldCharType="separate"/>
          </w:r>
          <w:r>
            <w:rPr>
              <w:rFonts w:hint="eastAsia" w:ascii="宋体" w:hAnsi="宋体" w:eastAsia="宋体" w:cs="宋体"/>
              <w:i w:val="0"/>
              <w:iCs w:val="0"/>
              <w:szCs w:val="21"/>
            </w:rPr>
            <w:t>4.4.3 无菌保障</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_Toc2006837349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_Toc537164861 </w:instrText>
          </w:r>
          <w:r>
            <w:rPr>
              <w:rFonts w:hint="eastAsia" w:ascii="宋体" w:hAnsi="宋体" w:eastAsia="宋体" w:cs="宋体"/>
              <w:szCs w:val="21"/>
            </w:rPr>
            <w:fldChar w:fldCharType="separate"/>
          </w:r>
          <w:r>
            <w:rPr>
              <w:rFonts w:hint="eastAsia" w:ascii="宋体" w:hAnsi="宋体" w:eastAsia="宋体" w:cs="宋体"/>
              <w:i w:val="0"/>
              <w:iCs w:val="0"/>
              <w:szCs w:val="21"/>
            </w:rPr>
            <w:t>4.4.4 器械兼容性</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_Toc537164861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_Toc108566839 </w:instrText>
          </w:r>
          <w:r>
            <w:rPr>
              <w:rFonts w:hint="eastAsia" w:ascii="宋体" w:hAnsi="宋体" w:eastAsia="宋体" w:cs="宋体"/>
              <w:szCs w:val="21"/>
            </w:rPr>
            <w:fldChar w:fldCharType="separate"/>
          </w:r>
          <w:r>
            <w:rPr>
              <w:rFonts w:hint="eastAsia" w:ascii="宋体" w:hAnsi="宋体" w:eastAsia="宋体" w:cs="宋体"/>
              <w:i w:val="0"/>
              <w:iCs w:val="0"/>
              <w:szCs w:val="21"/>
            </w:rPr>
            <w:t>4.5 安全与应急管理要求</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_Toc108566839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_Toc1469246770 </w:instrText>
          </w:r>
          <w:r>
            <w:rPr>
              <w:rFonts w:hint="eastAsia" w:ascii="宋体" w:hAnsi="宋体" w:eastAsia="宋体" w:cs="宋体"/>
              <w:szCs w:val="21"/>
            </w:rPr>
            <w:fldChar w:fldCharType="separate"/>
          </w:r>
          <w:r>
            <w:rPr>
              <w:rFonts w:hint="eastAsia" w:ascii="宋体" w:hAnsi="宋体" w:eastAsia="宋体" w:cs="宋体"/>
              <w:i w:val="0"/>
              <w:iCs w:val="0"/>
              <w:szCs w:val="21"/>
            </w:rPr>
            <w:t>4.5.1 应急预案</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_Toc1469246770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_Toc1863490184 </w:instrText>
          </w:r>
          <w:r>
            <w:rPr>
              <w:rFonts w:hint="eastAsia" w:ascii="宋体" w:hAnsi="宋体" w:eastAsia="宋体" w:cs="宋体"/>
              <w:szCs w:val="21"/>
            </w:rPr>
            <w:fldChar w:fldCharType="separate"/>
          </w:r>
          <w:r>
            <w:rPr>
              <w:rFonts w:hint="eastAsia" w:ascii="宋体" w:hAnsi="宋体" w:eastAsia="宋体" w:cs="宋体"/>
              <w:i w:val="0"/>
              <w:iCs w:val="0"/>
              <w:szCs w:val="21"/>
            </w:rPr>
            <w:t>4.5.2 备用设备</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_Toc1863490184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_Toc778014640 </w:instrText>
          </w:r>
          <w:r>
            <w:rPr>
              <w:rFonts w:hint="eastAsia" w:ascii="宋体" w:hAnsi="宋体" w:eastAsia="宋体" w:cs="宋体"/>
              <w:szCs w:val="21"/>
            </w:rPr>
            <w:fldChar w:fldCharType="separate"/>
          </w:r>
          <w:r>
            <w:rPr>
              <w:rFonts w:hint="eastAsia" w:ascii="宋体" w:hAnsi="宋体" w:eastAsia="宋体" w:cs="宋体"/>
              <w:i w:val="0"/>
              <w:iCs w:val="0"/>
              <w:szCs w:val="21"/>
            </w:rPr>
            <w:t>4.5.3 模拟演练</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_Toc778014640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_Toc64127897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rPr>
            <w:t>5 术前准备</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_Toc64127897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_Toc1908257732 </w:instrText>
          </w:r>
          <w:r>
            <w:rPr>
              <w:rFonts w:hint="eastAsia" w:ascii="宋体" w:hAnsi="宋体" w:eastAsia="宋体" w:cs="宋体"/>
              <w:szCs w:val="21"/>
            </w:rPr>
            <w:fldChar w:fldCharType="separate"/>
          </w:r>
          <w:r>
            <w:rPr>
              <w:rFonts w:hint="eastAsia" w:ascii="宋体" w:hAnsi="宋体" w:eastAsia="宋体" w:cs="宋体"/>
              <w:i w:val="0"/>
              <w:iCs w:val="0"/>
              <w:szCs w:val="21"/>
              <w:lang w:val="en-US" w:eastAsia="zh-CN"/>
            </w:rPr>
            <w:t>5.1 患者评估与知情同意</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_Toc1908257732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_Toc1566917426 </w:instrText>
          </w:r>
          <w:r>
            <w:rPr>
              <w:rFonts w:hint="eastAsia" w:ascii="宋体" w:hAnsi="宋体" w:eastAsia="宋体" w:cs="宋体"/>
              <w:szCs w:val="21"/>
            </w:rPr>
            <w:fldChar w:fldCharType="separate"/>
          </w:r>
          <w:r>
            <w:rPr>
              <w:rFonts w:hint="eastAsia" w:ascii="宋体" w:hAnsi="宋体" w:eastAsia="宋体" w:cs="宋体"/>
              <w:i w:val="0"/>
              <w:iCs w:val="0"/>
              <w:szCs w:val="21"/>
            </w:rPr>
            <w:t>5.1.1 评估要求与内容</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_Toc1566917426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_Toc589215621 </w:instrText>
          </w:r>
          <w:r>
            <w:rPr>
              <w:rFonts w:hint="eastAsia" w:ascii="宋体" w:hAnsi="宋体" w:eastAsia="宋体" w:cs="宋体"/>
              <w:szCs w:val="21"/>
            </w:rPr>
            <w:fldChar w:fldCharType="separate"/>
          </w:r>
          <w:r>
            <w:rPr>
              <w:rFonts w:hint="eastAsia" w:ascii="宋体" w:hAnsi="宋体" w:eastAsia="宋体" w:cs="宋体"/>
              <w:i w:val="0"/>
              <w:iCs w:val="0"/>
              <w:szCs w:val="21"/>
            </w:rPr>
            <w:t>5.1.2 辅助</w:t>
          </w:r>
          <w:r>
            <w:rPr>
              <w:rFonts w:hint="eastAsia" w:ascii="宋体" w:hAnsi="宋体" w:eastAsia="宋体" w:cs="宋体"/>
              <w:i w:val="0"/>
              <w:iCs w:val="0"/>
              <w:szCs w:val="21"/>
              <w:lang w:val="en-US" w:eastAsia="zh-CN"/>
            </w:rPr>
            <w:t>检查</w:t>
          </w:r>
          <w:r>
            <w:rPr>
              <w:rFonts w:hint="eastAsia" w:ascii="宋体" w:hAnsi="宋体" w:eastAsia="宋体" w:cs="宋体"/>
              <w:i w:val="0"/>
              <w:iCs w:val="0"/>
              <w:szCs w:val="21"/>
            </w:rPr>
            <w:t>与影像学评估</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_Toc589215621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_Toc899845830 </w:instrText>
          </w:r>
          <w:r>
            <w:rPr>
              <w:rFonts w:hint="eastAsia" w:ascii="宋体" w:hAnsi="宋体" w:eastAsia="宋体" w:cs="宋体"/>
              <w:szCs w:val="21"/>
            </w:rPr>
            <w:fldChar w:fldCharType="separate"/>
          </w:r>
          <w:r>
            <w:rPr>
              <w:rFonts w:hint="eastAsia" w:ascii="宋体" w:hAnsi="宋体" w:eastAsia="宋体" w:cs="宋体"/>
              <w:i w:val="0"/>
              <w:iCs w:val="0"/>
              <w:szCs w:val="21"/>
            </w:rPr>
            <w:t xml:space="preserve">5.1.3 </w:t>
          </w:r>
          <w:r>
            <w:rPr>
              <w:rFonts w:hint="eastAsia" w:ascii="宋体" w:hAnsi="宋体" w:eastAsia="宋体" w:cs="宋体"/>
              <w:i w:val="0"/>
              <w:iCs w:val="0"/>
              <w:szCs w:val="21"/>
              <w:lang w:val="en-US" w:eastAsia="zh-CN"/>
            </w:rPr>
            <w:t>知情告知与同意</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_Toc899845830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_Toc317938360 </w:instrText>
          </w:r>
          <w:r>
            <w:rPr>
              <w:rFonts w:hint="eastAsia" w:ascii="宋体" w:hAnsi="宋体" w:eastAsia="宋体" w:cs="宋体"/>
              <w:szCs w:val="21"/>
            </w:rPr>
            <w:fldChar w:fldCharType="separate"/>
          </w:r>
          <w:r>
            <w:rPr>
              <w:rFonts w:hint="eastAsia" w:ascii="宋体" w:hAnsi="宋体" w:eastAsia="宋体" w:cs="宋体"/>
              <w:i w:val="0"/>
              <w:iCs w:val="0"/>
              <w:szCs w:val="21"/>
            </w:rPr>
            <w:t>5.2 手术方案与支持策略</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_Toc317938360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_Toc650702784 </w:instrText>
          </w:r>
          <w:r>
            <w:rPr>
              <w:rFonts w:hint="eastAsia" w:ascii="宋体" w:hAnsi="宋体" w:eastAsia="宋体" w:cs="宋体"/>
              <w:szCs w:val="21"/>
            </w:rPr>
            <w:fldChar w:fldCharType="separate"/>
          </w:r>
          <w:r>
            <w:rPr>
              <w:rFonts w:hint="eastAsia" w:ascii="宋体" w:hAnsi="宋体" w:eastAsia="宋体" w:cs="宋体"/>
              <w:i w:val="0"/>
              <w:iCs w:val="0"/>
              <w:szCs w:val="21"/>
            </w:rPr>
            <w:t>5.2.1 手术策略制定</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_Toc650702784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_Toc1374960164 </w:instrText>
          </w:r>
          <w:r>
            <w:rPr>
              <w:rFonts w:hint="eastAsia" w:ascii="宋体" w:hAnsi="宋体" w:eastAsia="宋体" w:cs="宋体"/>
              <w:szCs w:val="21"/>
            </w:rPr>
            <w:fldChar w:fldCharType="separate"/>
          </w:r>
          <w:r>
            <w:rPr>
              <w:rFonts w:hint="eastAsia" w:ascii="宋体" w:hAnsi="宋体" w:eastAsia="宋体" w:cs="宋体"/>
              <w:i w:val="0"/>
              <w:iCs w:val="0"/>
              <w:szCs w:val="21"/>
            </w:rPr>
            <w:t>5.2.2 手术适用性评估</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_Toc1374960164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_Toc2031434628 </w:instrText>
          </w:r>
          <w:r>
            <w:rPr>
              <w:rFonts w:hint="eastAsia" w:ascii="宋体" w:hAnsi="宋体" w:eastAsia="宋体" w:cs="宋体"/>
              <w:szCs w:val="21"/>
            </w:rPr>
            <w:fldChar w:fldCharType="separate"/>
          </w:r>
          <w:r>
            <w:rPr>
              <w:rFonts w:hint="eastAsia" w:ascii="宋体" w:hAnsi="宋体" w:eastAsia="宋体" w:cs="宋体"/>
              <w:i w:val="0"/>
              <w:iCs w:val="0"/>
              <w:szCs w:val="21"/>
            </w:rPr>
            <w:t>5.2.3 支持与应急准备</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_Toc2031434628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_Toc1626772790 </w:instrText>
          </w:r>
          <w:r>
            <w:rPr>
              <w:rFonts w:hint="eastAsia" w:ascii="宋体" w:hAnsi="宋体" w:eastAsia="宋体" w:cs="宋体"/>
              <w:szCs w:val="21"/>
            </w:rPr>
            <w:fldChar w:fldCharType="separate"/>
          </w:r>
          <w:r>
            <w:rPr>
              <w:rFonts w:hint="eastAsia" w:ascii="宋体" w:hAnsi="宋体" w:eastAsia="宋体" w:cs="宋体"/>
              <w:i w:val="0"/>
              <w:iCs w:val="0"/>
              <w:szCs w:val="21"/>
            </w:rPr>
            <w:t>5.2.4 术前团队决策与分工</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_Toc1626772790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_Toc1555971573 </w:instrText>
          </w:r>
          <w:r>
            <w:rPr>
              <w:rFonts w:hint="eastAsia" w:ascii="宋体" w:hAnsi="宋体" w:eastAsia="宋体" w:cs="宋体"/>
              <w:szCs w:val="21"/>
            </w:rPr>
            <w:fldChar w:fldCharType="separate"/>
          </w:r>
          <w:r>
            <w:rPr>
              <w:rFonts w:hint="eastAsia" w:ascii="宋体" w:hAnsi="宋体" w:eastAsia="宋体" w:cs="宋体"/>
              <w:i w:val="0"/>
              <w:iCs w:val="0"/>
              <w:szCs w:val="21"/>
            </w:rPr>
            <w:t>5.3 器械与物资准备</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_Toc1555971573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_Toc1305857892 </w:instrText>
          </w:r>
          <w:r>
            <w:rPr>
              <w:rFonts w:hint="eastAsia" w:ascii="宋体" w:hAnsi="宋体" w:eastAsia="宋体" w:cs="宋体"/>
              <w:szCs w:val="21"/>
            </w:rPr>
            <w:fldChar w:fldCharType="separate"/>
          </w:r>
          <w:r>
            <w:rPr>
              <w:rFonts w:hint="eastAsia" w:ascii="宋体" w:hAnsi="宋体" w:eastAsia="宋体" w:cs="宋体"/>
              <w:i w:val="0"/>
              <w:iCs w:val="0"/>
              <w:szCs w:val="21"/>
            </w:rPr>
            <w:t>5.3.1 基本配置</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_Toc1305857892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_Toc270718504 </w:instrText>
          </w:r>
          <w:r>
            <w:rPr>
              <w:rFonts w:hint="eastAsia" w:ascii="宋体" w:hAnsi="宋体" w:eastAsia="宋体" w:cs="宋体"/>
              <w:szCs w:val="21"/>
            </w:rPr>
            <w:fldChar w:fldCharType="separate"/>
          </w:r>
          <w:r>
            <w:rPr>
              <w:rFonts w:hint="eastAsia" w:ascii="宋体" w:hAnsi="宋体" w:eastAsia="宋体" w:cs="宋体"/>
              <w:i w:val="0"/>
              <w:iCs w:val="0"/>
              <w:szCs w:val="21"/>
            </w:rPr>
            <w:t>5.3.2 机器人专用耗材</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_Toc270718504 \h </w:instrText>
          </w:r>
          <w:r>
            <w:rPr>
              <w:rFonts w:hint="eastAsia" w:ascii="宋体" w:hAnsi="宋体" w:eastAsia="宋体" w:cs="宋体"/>
              <w:szCs w:val="21"/>
            </w:rPr>
            <w:fldChar w:fldCharType="separate"/>
          </w:r>
          <w:r>
            <w:rPr>
              <w:rFonts w:hint="eastAsia" w:ascii="宋体" w:hAnsi="宋体" w:eastAsia="宋体" w:cs="宋体"/>
              <w:szCs w:val="21"/>
            </w:rPr>
            <w:t>4</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_Toc1595532382 </w:instrText>
          </w:r>
          <w:r>
            <w:rPr>
              <w:rFonts w:hint="eastAsia" w:ascii="宋体" w:hAnsi="宋体" w:eastAsia="宋体" w:cs="宋体"/>
              <w:szCs w:val="21"/>
            </w:rPr>
            <w:fldChar w:fldCharType="separate"/>
          </w:r>
          <w:r>
            <w:rPr>
              <w:rFonts w:hint="eastAsia" w:ascii="宋体" w:hAnsi="宋体" w:eastAsia="宋体" w:cs="宋体"/>
              <w:i w:val="0"/>
              <w:iCs w:val="0"/>
              <w:szCs w:val="21"/>
            </w:rPr>
            <w:t>5.3.3 介入耗材兼容性</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_Toc1595532382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_Toc484444185 </w:instrText>
          </w:r>
          <w:r>
            <w:rPr>
              <w:rFonts w:hint="eastAsia" w:ascii="宋体" w:hAnsi="宋体" w:eastAsia="宋体" w:cs="宋体"/>
              <w:szCs w:val="21"/>
            </w:rPr>
            <w:fldChar w:fldCharType="separate"/>
          </w:r>
          <w:r>
            <w:rPr>
              <w:rFonts w:hint="eastAsia" w:ascii="宋体" w:hAnsi="宋体" w:eastAsia="宋体" w:cs="宋体"/>
              <w:i w:val="0"/>
              <w:iCs w:val="0"/>
              <w:szCs w:val="21"/>
            </w:rPr>
            <w:t>5.3.4 应急与备用器材</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_Toc484444185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_Toc942911518 </w:instrText>
          </w:r>
          <w:r>
            <w:rPr>
              <w:rFonts w:hint="eastAsia" w:ascii="宋体" w:hAnsi="宋体" w:eastAsia="宋体" w:cs="宋体"/>
              <w:szCs w:val="21"/>
            </w:rPr>
            <w:fldChar w:fldCharType="separate"/>
          </w:r>
          <w:r>
            <w:rPr>
              <w:rFonts w:hint="eastAsia" w:ascii="宋体" w:hAnsi="宋体" w:eastAsia="宋体" w:cs="宋体"/>
              <w:i w:val="0"/>
              <w:iCs w:val="0"/>
              <w:szCs w:val="21"/>
            </w:rPr>
            <w:t>5.4 术前患者准备</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_Toc942911518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_Toc1232051813 </w:instrText>
          </w:r>
          <w:r>
            <w:rPr>
              <w:rFonts w:hint="eastAsia" w:ascii="宋体" w:hAnsi="宋体" w:eastAsia="宋体" w:cs="宋体"/>
              <w:szCs w:val="21"/>
            </w:rPr>
            <w:fldChar w:fldCharType="separate"/>
          </w:r>
          <w:r>
            <w:rPr>
              <w:rFonts w:hint="eastAsia" w:ascii="宋体" w:hAnsi="宋体" w:eastAsia="宋体" w:cs="宋体"/>
              <w:i w:val="0"/>
              <w:iCs w:val="0"/>
              <w:szCs w:val="21"/>
            </w:rPr>
            <w:t>5.4.1 基础准备</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_Toc1232051813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_Toc1057496717 </w:instrText>
          </w:r>
          <w:r>
            <w:rPr>
              <w:rFonts w:hint="eastAsia" w:ascii="宋体" w:hAnsi="宋体" w:eastAsia="宋体" w:cs="宋体"/>
              <w:szCs w:val="21"/>
            </w:rPr>
            <w:fldChar w:fldCharType="separate"/>
          </w:r>
          <w:r>
            <w:rPr>
              <w:rFonts w:hint="eastAsia" w:ascii="宋体" w:hAnsi="宋体" w:eastAsia="宋体" w:cs="宋体"/>
              <w:i w:val="0"/>
              <w:iCs w:val="0"/>
              <w:szCs w:val="21"/>
            </w:rPr>
            <w:t>5.4.2 药物与风险预防</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_Toc1057496717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_Toc772660047 </w:instrText>
          </w:r>
          <w:r>
            <w:rPr>
              <w:rFonts w:hint="eastAsia" w:ascii="宋体" w:hAnsi="宋体" w:eastAsia="宋体" w:cs="宋体"/>
              <w:szCs w:val="21"/>
            </w:rPr>
            <w:fldChar w:fldCharType="separate"/>
          </w:r>
          <w:r>
            <w:rPr>
              <w:rFonts w:hint="eastAsia" w:ascii="宋体" w:hAnsi="宋体" w:eastAsia="宋体" w:cs="宋体"/>
              <w:i w:val="0"/>
              <w:iCs w:val="0"/>
              <w:szCs w:val="21"/>
            </w:rPr>
            <w:t>5.4.3 监测与麻醉管理</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_Toc772660047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_Toc263796520 </w:instrText>
          </w:r>
          <w:r>
            <w:rPr>
              <w:rFonts w:hint="eastAsia" w:ascii="宋体" w:hAnsi="宋体" w:eastAsia="宋体" w:cs="宋体"/>
              <w:szCs w:val="21"/>
            </w:rPr>
            <w:fldChar w:fldCharType="separate"/>
          </w:r>
          <w:r>
            <w:rPr>
              <w:rFonts w:hint="eastAsia" w:ascii="宋体" w:hAnsi="宋体" w:eastAsia="宋体" w:cs="宋体"/>
              <w:i w:val="0"/>
              <w:iCs w:val="0"/>
              <w:szCs w:val="21"/>
            </w:rPr>
            <w:t>5.4.4 设备检查</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_Toc263796520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_Toc1221864232 </w:instrText>
          </w:r>
          <w:r>
            <w:rPr>
              <w:rFonts w:hint="eastAsia" w:ascii="宋体" w:hAnsi="宋体" w:eastAsia="宋体" w:cs="宋体"/>
              <w:szCs w:val="21"/>
            </w:rPr>
            <w:fldChar w:fldCharType="separate"/>
          </w:r>
          <w:r>
            <w:rPr>
              <w:rFonts w:hint="eastAsia" w:ascii="宋体" w:hAnsi="宋体" w:eastAsia="宋体" w:cs="宋体"/>
              <w:i w:val="0"/>
              <w:iCs w:val="0"/>
              <w:szCs w:val="21"/>
            </w:rPr>
            <w:t>5.5 术前安全核查</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_Toc1221864232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_Toc1633514610 </w:instrText>
          </w:r>
          <w:r>
            <w:rPr>
              <w:rFonts w:hint="eastAsia" w:ascii="宋体" w:hAnsi="宋体" w:eastAsia="宋体" w:cs="宋体"/>
              <w:szCs w:val="21"/>
            </w:rPr>
            <w:fldChar w:fldCharType="separate"/>
          </w:r>
          <w:r>
            <w:rPr>
              <w:rFonts w:hint="eastAsia" w:ascii="宋体" w:hAnsi="宋体" w:eastAsia="宋体" w:cs="宋体"/>
              <w:i w:val="0"/>
              <w:iCs w:val="0"/>
              <w:szCs w:val="21"/>
            </w:rPr>
            <w:t>5.5.1 核查组织</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_Toc1633514610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_Toc1049107022 </w:instrText>
          </w:r>
          <w:r>
            <w:rPr>
              <w:rFonts w:hint="eastAsia" w:ascii="宋体" w:hAnsi="宋体" w:eastAsia="宋体" w:cs="宋体"/>
              <w:szCs w:val="21"/>
            </w:rPr>
            <w:fldChar w:fldCharType="separate"/>
          </w:r>
          <w:r>
            <w:rPr>
              <w:rFonts w:hint="eastAsia" w:ascii="宋体" w:hAnsi="宋体" w:eastAsia="宋体" w:cs="宋体"/>
              <w:i w:val="0"/>
              <w:iCs w:val="0"/>
              <w:szCs w:val="21"/>
            </w:rPr>
            <w:t>5.5.2 核查内容</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_Toc1049107022 \h </w:instrText>
          </w:r>
          <w:r>
            <w:rPr>
              <w:rFonts w:hint="eastAsia" w:ascii="宋体" w:hAnsi="宋体" w:eastAsia="宋体" w:cs="宋体"/>
              <w:szCs w:val="21"/>
            </w:rPr>
            <w:fldChar w:fldCharType="separate"/>
          </w:r>
          <w:r>
            <w:rPr>
              <w:rFonts w:hint="eastAsia" w:ascii="宋体" w:hAnsi="宋体" w:eastAsia="宋体" w:cs="宋体"/>
              <w:szCs w:val="21"/>
            </w:rPr>
            <w:t>5</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_Toc1500976884 </w:instrText>
          </w:r>
          <w:r>
            <w:rPr>
              <w:rFonts w:hint="eastAsia" w:ascii="宋体" w:hAnsi="宋体" w:eastAsia="宋体" w:cs="宋体"/>
              <w:szCs w:val="21"/>
            </w:rPr>
            <w:fldChar w:fldCharType="separate"/>
          </w:r>
          <w:r>
            <w:rPr>
              <w:rFonts w:hint="eastAsia" w:ascii="宋体" w:hAnsi="宋体" w:eastAsia="宋体" w:cs="宋体"/>
              <w:i w:val="0"/>
              <w:iCs w:val="0"/>
              <w:szCs w:val="21"/>
            </w:rPr>
            <w:t>5.5.3 核查方式</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_Toc1500976884 \h </w:instrText>
          </w:r>
          <w:r>
            <w:rPr>
              <w:rFonts w:hint="eastAsia" w:ascii="宋体" w:hAnsi="宋体" w:eastAsia="宋体" w:cs="宋体"/>
              <w:szCs w:val="21"/>
            </w:rPr>
            <w:fldChar w:fldCharType="separate"/>
          </w:r>
          <w:r>
            <w:rPr>
              <w:rFonts w:hint="eastAsia" w:ascii="宋体" w:hAnsi="宋体" w:eastAsia="宋体" w:cs="宋体"/>
              <w:szCs w:val="21"/>
            </w:rPr>
            <w:t>6</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_Toc428088079 </w:instrText>
          </w:r>
          <w:r>
            <w:rPr>
              <w:rFonts w:hint="eastAsia" w:ascii="宋体" w:hAnsi="宋体" w:eastAsia="宋体" w:cs="宋体"/>
              <w:szCs w:val="21"/>
            </w:rPr>
            <w:fldChar w:fldCharType="separate"/>
          </w:r>
          <w:r>
            <w:rPr>
              <w:rFonts w:hint="eastAsia" w:ascii="宋体" w:hAnsi="宋体" w:eastAsia="宋体" w:cs="宋体"/>
              <w:i w:val="0"/>
              <w:iCs w:val="0"/>
              <w:szCs w:val="21"/>
            </w:rPr>
            <w:t>5.5.4 记录与追溯</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_Toc428088079 \h </w:instrText>
          </w:r>
          <w:r>
            <w:rPr>
              <w:rFonts w:hint="eastAsia" w:ascii="宋体" w:hAnsi="宋体" w:eastAsia="宋体" w:cs="宋体"/>
              <w:szCs w:val="21"/>
            </w:rPr>
            <w:fldChar w:fldCharType="separate"/>
          </w:r>
          <w:r>
            <w:rPr>
              <w:rFonts w:hint="eastAsia" w:ascii="宋体" w:hAnsi="宋体" w:eastAsia="宋体" w:cs="宋体"/>
              <w:szCs w:val="21"/>
            </w:rPr>
            <w:t>6</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_Toc806126303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rPr>
            <w:t>6 手术实施与安全管理</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_Toc806126303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6</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_Toc90445598 </w:instrText>
          </w:r>
          <w:r>
            <w:rPr>
              <w:rFonts w:hint="eastAsia" w:ascii="宋体" w:hAnsi="宋体" w:eastAsia="宋体" w:cs="宋体"/>
              <w:szCs w:val="21"/>
            </w:rPr>
            <w:fldChar w:fldCharType="separate"/>
          </w:r>
          <w:r>
            <w:rPr>
              <w:rFonts w:hint="eastAsia" w:ascii="宋体" w:hAnsi="宋体" w:eastAsia="宋体" w:cs="宋体"/>
              <w:i w:val="0"/>
              <w:iCs w:val="0"/>
              <w:szCs w:val="21"/>
            </w:rPr>
            <w:t>6.1 系统准备与</w:t>
          </w:r>
          <w:r>
            <w:rPr>
              <w:rFonts w:hint="eastAsia" w:ascii="宋体" w:hAnsi="宋体" w:eastAsia="宋体" w:cs="宋体"/>
              <w:i w:val="0"/>
              <w:iCs w:val="0"/>
              <w:szCs w:val="21"/>
              <w:lang w:val="en-US" w:eastAsia="zh-CN"/>
            </w:rPr>
            <w:t>功能校验</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_Toc90445598 \h </w:instrText>
          </w:r>
          <w:r>
            <w:rPr>
              <w:rFonts w:hint="eastAsia" w:ascii="宋体" w:hAnsi="宋体" w:eastAsia="宋体" w:cs="宋体"/>
              <w:szCs w:val="21"/>
            </w:rPr>
            <w:fldChar w:fldCharType="separate"/>
          </w:r>
          <w:r>
            <w:rPr>
              <w:rFonts w:hint="eastAsia" w:ascii="宋体" w:hAnsi="宋体" w:eastAsia="宋体" w:cs="宋体"/>
              <w:szCs w:val="21"/>
            </w:rPr>
            <w:t>6</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_Toc1848227157 </w:instrText>
          </w:r>
          <w:r>
            <w:rPr>
              <w:rFonts w:hint="eastAsia" w:ascii="宋体" w:hAnsi="宋体" w:eastAsia="宋体" w:cs="宋体"/>
              <w:szCs w:val="21"/>
            </w:rPr>
            <w:fldChar w:fldCharType="separate"/>
          </w:r>
          <w:r>
            <w:rPr>
              <w:rFonts w:hint="eastAsia" w:ascii="宋体" w:hAnsi="宋体" w:eastAsia="宋体" w:cs="宋体"/>
              <w:i w:val="0"/>
              <w:iCs w:val="0"/>
              <w:szCs w:val="21"/>
            </w:rPr>
            <w:t>6.1.1 环境与设备检查</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_Toc1848227157 \h </w:instrText>
          </w:r>
          <w:r>
            <w:rPr>
              <w:rFonts w:hint="eastAsia" w:ascii="宋体" w:hAnsi="宋体" w:eastAsia="宋体" w:cs="宋体"/>
              <w:szCs w:val="21"/>
            </w:rPr>
            <w:fldChar w:fldCharType="separate"/>
          </w:r>
          <w:r>
            <w:rPr>
              <w:rFonts w:hint="eastAsia" w:ascii="宋体" w:hAnsi="宋体" w:eastAsia="宋体" w:cs="宋体"/>
              <w:szCs w:val="21"/>
            </w:rPr>
            <w:t>6</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_Toc1950357491 </w:instrText>
          </w:r>
          <w:r>
            <w:rPr>
              <w:rFonts w:hint="eastAsia" w:ascii="宋体" w:hAnsi="宋体" w:eastAsia="宋体" w:cs="宋体"/>
              <w:szCs w:val="21"/>
            </w:rPr>
            <w:fldChar w:fldCharType="separate"/>
          </w:r>
          <w:r>
            <w:rPr>
              <w:rFonts w:hint="eastAsia" w:ascii="宋体" w:hAnsi="宋体" w:eastAsia="宋体" w:cs="宋体"/>
              <w:i w:val="0"/>
              <w:iCs w:val="0"/>
              <w:szCs w:val="21"/>
            </w:rPr>
            <w:t>6.1.2 系统安装与校准</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_Toc1950357491 \h </w:instrText>
          </w:r>
          <w:r>
            <w:rPr>
              <w:rFonts w:hint="eastAsia" w:ascii="宋体" w:hAnsi="宋体" w:eastAsia="宋体" w:cs="宋体"/>
              <w:szCs w:val="21"/>
            </w:rPr>
            <w:fldChar w:fldCharType="separate"/>
          </w:r>
          <w:r>
            <w:rPr>
              <w:rFonts w:hint="eastAsia" w:ascii="宋体" w:hAnsi="宋体" w:eastAsia="宋体" w:cs="宋体"/>
              <w:szCs w:val="21"/>
            </w:rPr>
            <w:t>6</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_Toc467963429 </w:instrText>
          </w:r>
          <w:r>
            <w:rPr>
              <w:rFonts w:hint="eastAsia" w:ascii="宋体" w:hAnsi="宋体" w:eastAsia="宋体" w:cs="宋体"/>
              <w:szCs w:val="21"/>
            </w:rPr>
            <w:fldChar w:fldCharType="separate"/>
          </w:r>
          <w:r>
            <w:rPr>
              <w:rFonts w:hint="eastAsia" w:ascii="宋体" w:hAnsi="宋体" w:eastAsia="宋体" w:cs="宋体"/>
              <w:i w:val="0"/>
              <w:iCs w:val="0"/>
              <w:szCs w:val="21"/>
            </w:rPr>
            <w:t>6.1.3 耗材装载与兼容核对</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_Toc467963429 \h </w:instrText>
          </w:r>
          <w:r>
            <w:rPr>
              <w:rFonts w:hint="eastAsia" w:ascii="宋体" w:hAnsi="宋体" w:eastAsia="宋体" w:cs="宋体"/>
              <w:szCs w:val="21"/>
            </w:rPr>
            <w:fldChar w:fldCharType="separate"/>
          </w:r>
          <w:r>
            <w:rPr>
              <w:rFonts w:hint="eastAsia" w:ascii="宋体" w:hAnsi="宋体" w:eastAsia="宋体" w:cs="宋体"/>
              <w:szCs w:val="21"/>
            </w:rPr>
            <w:t>6</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_Toc976235889 </w:instrText>
          </w:r>
          <w:r>
            <w:rPr>
              <w:rFonts w:hint="eastAsia" w:ascii="宋体" w:hAnsi="宋体" w:eastAsia="宋体" w:cs="宋体"/>
              <w:szCs w:val="21"/>
            </w:rPr>
            <w:fldChar w:fldCharType="separate"/>
          </w:r>
          <w:r>
            <w:rPr>
              <w:rFonts w:hint="eastAsia" w:ascii="宋体" w:hAnsi="宋体" w:eastAsia="宋体" w:cs="宋体"/>
              <w:i w:val="0"/>
              <w:iCs w:val="0"/>
              <w:szCs w:val="21"/>
            </w:rPr>
            <w:t>6.1.4 通信与</w:t>
          </w:r>
          <w:r>
            <w:rPr>
              <w:rFonts w:hint="eastAsia" w:ascii="宋体" w:hAnsi="宋体" w:eastAsia="宋体" w:cs="宋体"/>
              <w:i w:val="0"/>
              <w:iCs w:val="0"/>
              <w:szCs w:val="21"/>
              <w:lang w:val="en-US" w:eastAsia="zh-CN"/>
            </w:rPr>
            <w:t>影</w:t>
          </w:r>
          <w:r>
            <w:rPr>
              <w:rFonts w:hint="eastAsia" w:ascii="宋体" w:hAnsi="宋体" w:eastAsia="宋体" w:cs="宋体"/>
              <w:i w:val="0"/>
              <w:iCs w:val="0"/>
              <w:szCs w:val="21"/>
            </w:rPr>
            <w:t>像同步</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_Toc976235889 \h </w:instrText>
          </w:r>
          <w:r>
            <w:rPr>
              <w:rFonts w:hint="eastAsia" w:ascii="宋体" w:hAnsi="宋体" w:eastAsia="宋体" w:cs="宋体"/>
              <w:szCs w:val="21"/>
            </w:rPr>
            <w:fldChar w:fldCharType="separate"/>
          </w:r>
          <w:r>
            <w:rPr>
              <w:rFonts w:hint="eastAsia" w:ascii="宋体" w:hAnsi="宋体" w:eastAsia="宋体" w:cs="宋体"/>
              <w:szCs w:val="21"/>
            </w:rPr>
            <w:t>6</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_Toc821523343 </w:instrText>
          </w:r>
          <w:r>
            <w:rPr>
              <w:rFonts w:hint="eastAsia" w:ascii="宋体" w:hAnsi="宋体" w:eastAsia="宋体" w:cs="宋体"/>
              <w:szCs w:val="21"/>
            </w:rPr>
            <w:fldChar w:fldCharType="separate"/>
          </w:r>
          <w:r>
            <w:rPr>
              <w:rFonts w:hint="eastAsia" w:ascii="宋体" w:hAnsi="宋体" w:eastAsia="宋体" w:cs="宋体"/>
              <w:i w:val="0"/>
              <w:iCs w:val="0"/>
              <w:szCs w:val="21"/>
            </w:rPr>
            <w:t>6.1.5 启动条件确认</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_Toc821523343 \h </w:instrText>
          </w:r>
          <w:r>
            <w:rPr>
              <w:rFonts w:hint="eastAsia" w:ascii="宋体" w:hAnsi="宋体" w:eastAsia="宋体" w:cs="宋体"/>
              <w:szCs w:val="21"/>
            </w:rPr>
            <w:fldChar w:fldCharType="separate"/>
          </w:r>
          <w:r>
            <w:rPr>
              <w:rFonts w:hint="eastAsia" w:ascii="宋体" w:hAnsi="宋体" w:eastAsia="宋体" w:cs="宋体"/>
              <w:szCs w:val="21"/>
            </w:rPr>
            <w:t>6</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_Toc1170459238 </w:instrText>
          </w:r>
          <w:r>
            <w:rPr>
              <w:rFonts w:hint="eastAsia" w:ascii="宋体" w:hAnsi="宋体" w:eastAsia="宋体" w:cs="宋体"/>
              <w:szCs w:val="21"/>
            </w:rPr>
            <w:fldChar w:fldCharType="separate"/>
          </w:r>
          <w:r>
            <w:rPr>
              <w:rFonts w:hint="eastAsia" w:ascii="宋体" w:hAnsi="宋体" w:eastAsia="宋体" w:cs="宋体"/>
              <w:i w:val="0"/>
              <w:iCs w:val="0"/>
              <w:szCs w:val="21"/>
            </w:rPr>
            <w:t>6.2 手术操作与过程控制</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_Toc1170459238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_Toc958206546 </w:instrText>
          </w:r>
          <w:r>
            <w:rPr>
              <w:rFonts w:hint="eastAsia" w:ascii="宋体" w:hAnsi="宋体" w:eastAsia="宋体" w:cs="宋体"/>
              <w:szCs w:val="21"/>
            </w:rPr>
            <w:fldChar w:fldCharType="separate"/>
          </w:r>
          <w:r>
            <w:rPr>
              <w:rFonts w:hint="eastAsia" w:ascii="宋体" w:hAnsi="宋体" w:eastAsia="宋体" w:cs="宋体"/>
              <w:i w:val="0"/>
              <w:iCs w:val="0"/>
              <w:szCs w:val="21"/>
            </w:rPr>
            <w:t>6.2.1 导丝操作原则</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_Toc958206546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_Toc597549769 </w:instrText>
          </w:r>
          <w:r>
            <w:rPr>
              <w:rFonts w:hint="eastAsia" w:ascii="宋体" w:hAnsi="宋体" w:eastAsia="宋体" w:cs="宋体"/>
              <w:szCs w:val="21"/>
            </w:rPr>
            <w:fldChar w:fldCharType="separate"/>
          </w:r>
          <w:r>
            <w:rPr>
              <w:rFonts w:hint="eastAsia" w:ascii="宋体" w:hAnsi="宋体" w:eastAsia="宋体" w:cs="宋体"/>
              <w:i w:val="0"/>
              <w:iCs w:val="0"/>
              <w:szCs w:val="21"/>
            </w:rPr>
            <w:t>6.2.2 导管推进与定位</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_Toc597549769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_Toc1385434211 </w:instrText>
          </w:r>
          <w:r>
            <w:rPr>
              <w:rFonts w:hint="eastAsia" w:ascii="宋体" w:hAnsi="宋体" w:eastAsia="宋体" w:cs="宋体"/>
              <w:szCs w:val="21"/>
            </w:rPr>
            <w:fldChar w:fldCharType="separate"/>
          </w:r>
          <w:r>
            <w:rPr>
              <w:rFonts w:hint="eastAsia" w:ascii="宋体" w:hAnsi="宋体" w:eastAsia="宋体" w:cs="宋体"/>
              <w:i w:val="0"/>
              <w:iCs w:val="0"/>
              <w:szCs w:val="21"/>
            </w:rPr>
            <w:t>6.2.3 术中影像确认与优化</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_Toc1385434211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_Toc1975083503 </w:instrText>
          </w:r>
          <w:r>
            <w:rPr>
              <w:rFonts w:hint="eastAsia" w:ascii="宋体" w:hAnsi="宋体" w:eastAsia="宋体" w:cs="宋体"/>
              <w:szCs w:val="21"/>
            </w:rPr>
            <w:fldChar w:fldCharType="separate"/>
          </w:r>
          <w:r>
            <w:rPr>
              <w:rFonts w:hint="eastAsia" w:ascii="宋体" w:hAnsi="宋体" w:eastAsia="宋体" w:cs="宋体"/>
              <w:i w:val="0"/>
              <w:iCs w:val="0"/>
              <w:szCs w:val="21"/>
            </w:rPr>
            <w:t>6.2.</w:t>
          </w:r>
          <w:r>
            <w:rPr>
              <w:rFonts w:hint="eastAsia" w:ascii="宋体" w:hAnsi="宋体" w:eastAsia="宋体" w:cs="宋体"/>
              <w:i w:val="0"/>
              <w:iCs w:val="0"/>
              <w:szCs w:val="21"/>
              <w:lang w:val="en-US" w:eastAsia="zh-CN"/>
            </w:rPr>
            <w:t>4</w:t>
          </w:r>
          <w:r>
            <w:rPr>
              <w:rFonts w:hint="eastAsia" w:ascii="宋体" w:hAnsi="宋体" w:eastAsia="宋体" w:cs="宋体"/>
              <w:i w:val="0"/>
              <w:iCs w:val="0"/>
              <w:szCs w:val="21"/>
            </w:rPr>
            <w:t xml:space="preserve"> 过程安全监控</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_Toc1975083503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_Toc1573703242 </w:instrText>
          </w:r>
          <w:r>
            <w:rPr>
              <w:rFonts w:hint="eastAsia" w:ascii="宋体" w:hAnsi="宋体" w:eastAsia="宋体" w:cs="宋体"/>
              <w:szCs w:val="21"/>
            </w:rPr>
            <w:fldChar w:fldCharType="separate"/>
          </w:r>
          <w:r>
            <w:rPr>
              <w:rFonts w:hint="eastAsia" w:ascii="宋体" w:hAnsi="宋体" w:eastAsia="宋体" w:cs="宋体"/>
              <w:i w:val="0"/>
              <w:iCs w:val="0"/>
              <w:szCs w:val="21"/>
            </w:rPr>
            <w:t>6.2.</w:t>
          </w:r>
          <w:r>
            <w:rPr>
              <w:rFonts w:hint="eastAsia" w:ascii="宋体" w:hAnsi="宋体" w:eastAsia="宋体" w:cs="宋体"/>
              <w:i w:val="0"/>
              <w:iCs w:val="0"/>
              <w:szCs w:val="21"/>
              <w:lang w:val="en-US" w:eastAsia="zh-CN"/>
            </w:rPr>
            <w:t>5</w:t>
          </w:r>
          <w:r>
            <w:rPr>
              <w:rFonts w:hint="eastAsia" w:ascii="宋体" w:hAnsi="宋体" w:eastAsia="宋体" w:cs="宋体"/>
              <w:i w:val="0"/>
              <w:iCs w:val="0"/>
              <w:szCs w:val="21"/>
            </w:rPr>
            <w:t xml:space="preserve"> 团队协作与信息沟通</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_Toc1573703242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_Toc821791842 </w:instrText>
          </w:r>
          <w:r>
            <w:rPr>
              <w:rFonts w:hint="eastAsia" w:ascii="宋体" w:hAnsi="宋体" w:eastAsia="宋体" w:cs="宋体"/>
              <w:szCs w:val="21"/>
            </w:rPr>
            <w:fldChar w:fldCharType="separate"/>
          </w:r>
          <w:r>
            <w:rPr>
              <w:rFonts w:hint="eastAsia" w:ascii="宋体" w:hAnsi="宋体" w:eastAsia="宋体" w:cs="宋体"/>
              <w:i w:val="0"/>
              <w:iCs w:val="0"/>
              <w:szCs w:val="21"/>
            </w:rPr>
            <w:t xml:space="preserve">6.3 </w:t>
          </w:r>
          <w:r>
            <w:rPr>
              <w:rFonts w:hint="eastAsia" w:ascii="宋体" w:hAnsi="宋体" w:eastAsia="宋体" w:cs="宋体"/>
              <w:i w:val="0"/>
              <w:iCs w:val="0"/>
              <w:szCs w:val="21"/>
              <w:lang w:val="en-US" w:eastAsia="zh-CN"/>
            </w:rPr>
            <w:t>系统</w:t>
          </w:r>
          <w:r>
            <w:rPr>
              <w:rFonts w:hint="eastAsia" w:ascii="宋体" w:hAnsi="宋体" w:eastAsia="宋体" w:cs="宋体"/>
              <w:i w:val="0"/>
              <w:iCs w:val="0"/>
              <w:szCs w:val="21"/>
            </w:rPr>
            <w:t>安全监控与异常处理</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_Toc821791842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_Toc1388154637 </w:instrText>
          </w:r>
          <w:r>
            <w:rPr>
              <w:rFonts w:hint="eastAsia" w:ascii="宋体" w:hAnsi="宋体" w:eastAsia="宋体" w:cs="宋体"/>
              <w:szCs w:val="21"/>
            </w:rPr>
            <w:fldChar w:fldCharType="separate"/>
          </w:r>
          <w:r>
            <w:rPr>
              <w:rFonts w:hint="eastAsia" w:ascii="宋体" w:hAnsi="宋体" w:eastAsia="宋体" w:cs="宋体"/>
              <w:i w:val="0"/>
              <w:iCs w:val="0"/>
              <w:szCs w:val="21"/>
            </w:rPr>
            <w:t>6.3.1 一般安全要求</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_Toc1388154637 \h </w:instrText>
          </w:r>
          <w:r>
            <w:rPr>
              <w:rFonts w:hint="eastAsia" w:ascii="宋体" w:hAnsi="宋体" w:eastAsia="宋体" w:cs="宋体"/>
              <w:szCs w:val="21"/>
            </w:rPr>
            <w:fldChar w:fldCharType="separate"/>
          </w:r>
          <w:r>
            <w:rPr>
              <w:rFonts w:hint="eastAsia" w:ascii="宋体" w:hAnsi="宋体" w:eastAsia="宋体" w:cs="宋体"/>
              <w:szCs w:val="21"/>
            </w:rPr>
            <w:t>7</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_Toc452643051 </w:instrText>
          </w:r>
          <w:r>
            <w:rPr>
              <w:rFonts w:hint="eastAsia" w:ascii="宋体" w:hAnsi="宋体" w:eastAsia="宋体" w:cs="宋体"/>
              <w:szCs w:val="21"/>
            </w:rPr>
            <w:fldChar w:fldCharType="separate"/>
          </w:r>
          <w:r>
            <w:rPr>
              <w:rFonts w:hint="eastAsia" w:ascii="宋体" w:hAnsi="宋体" w:eastAsia="宋体" w:cs="宋体"/>
              <w:i w:val="0"/>
              <w:iCs w:val="0"/>
              <w:szCs w:val="21"/>
            </w:rPr>
            <w:t>6.3.2 设备异常处理</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_Toc452643051 \h </w:instrText>
          </w:r>
          <w:r>
            <w:rPr>
              <w:rFonts w:hint="eastAsia" w:ascii="宋体" w:hAnsi="宋体" w:eastAsia="宋体" w:cs="宋体"/>
              <w:szCs w:val="21"/>
            </w:rPr>
            <w:fldChar w:fldCharType="separate"/>
          </w:r>
          <w:r>
            <w:rPr>
              <w:rFonts w:hint="eastAsia" w:ascii="宋体" w:hAnsi="宋体" w:eastAsia="宋体" w:cs="宋体"/>
              <w:szCs w:val="21"/>
            </w:rPr>
            <w:t>8</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_Toc1184680483 </w:instrText>
          </w:r>
          <w:r>
            <w:rPr>
              <w:rFonts w:hint="eastAsia" w:ascii="宋体" w:hAnsi="宋体" w:eastAsia="宋体" w:cs="宋体"/>
              <w:szCs w:val="21"/>
            </w:rPr>
            <w:fldChar w:fldCharType="separate"/>
          </w:r>
          <w:r>
            <w:rPr>
              <w:rFonts w:hint="eastAsia" w:ascii="宋体" w:hAnsi="宋体" w:eastAsia="宋体" w:cs="宋体"/>
              <w:i w:val="0"/>
              <w:iCs w:val="0"/>
              <w:szCs w:val="21"/>
            </w:rPr>
            <w:t>6.3.3 患者相关异常处理</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_Toc1184680483 \h </w:instrText>
          </w:r>
          <w:r>
            <w:rPr>
              <w:rFonts w:hint="eastAsia" w:ascii="宋体" w:hAnsi="宋体" w:eastAsia="宋体" w:cs="宋体"/>
              <w:szCs w:val="21"/>
            </w:rPr>
            <w:fldChar w:fldCharType="separate"/>
          </w:r>
          <w:r>
            <w:rPr>
              <w:rFonts w:hint="eastAsia" w:ascii="宋体" w:hAnsi="宋体" w:eastAsia="宋体" w:cs="宋体"/>
              <w:szCs w:val="21"/>
            </w:rPr>
            <w:t>8</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_Toc1603986444 </w:instrText>
          </w:r>
          <w:r>
            <w:rPr>
              <w:rFonts w:hint="eastAsia" w:ascii="宋体" w:hAnsi="宋体" w:eastAsia="宋体" w:cs="宋体"/>
              <w:szCs w:val="21"/>
            </w:rPr>
            <w:fldChar w:fldCharType="separate"/>
          </w:r>
          <w:r>
            <w:rPr>
              <w:rFonts w:hint="eastAsia" w:ascii="宋体" w:hAnsi="宋体" w:eastAsia="宋体" w:cs="宋体"/>
              <w:i w:val="0"/>
              <w:iCs w:val="0"/>
              <w:szCs w:val="21"/>
            </w:rPr>
            <w:t>6.3.4 紧急中转与应急响应</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_Toc1603986444 \h </w:instrText>
          </w:r>
          <w:r>
            <w:rPr>
              <w:rFonts w:hint="eastAsia" w:ascii="宋体" w:hAnsi="宋体" w:eastAsia="宋体" w:cs="宋体"/>
              <w:szCs w:val="21"/>
            </w:rPr>
            <w:fldChar w:fldCharType="separate"/>
          </w:r>
          <w:r>
            <w:rPr>
              <w:rFonts w:hint="eastAsia" w:ascii="宋体" w:hAnsi="宋体" w:eastAsia="宋体" w:cs="宋体"/>
              <w:szCs w:val="21"/>
            </w:rPr>
            <w:t>8</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_Toc837943517 </w:instrText>
          </w:r>
          <w:r>
            <w:rPr>
              <w:rFonts w:hint="eastAsia" w:ascii="宋体" w:hAnsi="宋体" w:eastAsia="宋体" w:cs="宋体"/>
              <w:szCs w:val="21"/>
            </w:rPr>
            <w:fldChar w:fldCharType="separate"/>
          </w:r>
          <w:r>
            <w:rPr>
              <w:rFonts w:hint="eastAsia" w:ascii="宋体" w:hAnsi="宋体" w:eastAsia="宋体" w:cs="宋体"/>
              <w:i w:val="0"/>
              <w:iCs w:val="0"/>
              <w:szCs w:val="21"/>
            </w:rPr>
            <w:t>6.3.5 异常记录与追溯</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_Toc837943517 \h </w:instrText>
          </w:r>
          <w:r>
            <w:rPr>
              <w:rFonts w:hint="eastAsia" w:ascii="宋体" w:hAnsi="宋体" w:eastAsia="宋体" w:cs="宋体"/>
              <w:szCs w:val="21"/>
            </w:rPr>
            <w:fldChar w:fldCharType="separate"/>
          </w:r>
          <w:r>
            <w:rPr>
              <w:rFonts w:hint="eastAsia" w:ascii="宋体" w:hAnsi="宋体" w:eastAsia="宋体" w:cs="宋体"/>
              <w:szCs w:val="21"/>
            </w:rPr>
            <w:t>8</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_Toc118933193 </w:instrText>
          </w:r>
          <w:r>
            <w:rPr>
              <w:rFonts w:hint="eastAsia" w:ascii="宋体" w:hAnsi="宋体" w:eastAsia="宋体" w:cs="宋体"/>
              <w:szCs w:val="21"/>
            </w:rPr>
            <w:fldChar w:fldCharType="separate"/>
          </w:r>
          <w:r>
            <w:rPr>
              <w:rFonts w:hint="eastAsia" w:ascii="宋体" w:hAnsi="宋体" w:eastAsia="宋体" w:cs="宋体"/>
              <w:i w:val="0"/>
              <w:iCs w:val="0"/>
              <w:szCs w:val="21"/>
            </w:rPr>
            <w:t xml:space="preserve">6.4 </w:t>
          </w:r>
          <w:r>
            <w:rPr>
              <w:rFonts w:hint="eastAsia" w:ascii="宋体" w:hAnsi="宋体" w:eastAsia="宋体" w:cs="宋体"/>
              <w:i w:val="0"/>
              <w:iCs w:val="0"/>
              <w:szCs w:val="21"/>
              <w:lang w:val="en-US" w:eastAsia="zh-CN"/>
            </w:rPr>
            <w:t>患者</w:t>
          </w:r>
          <w:r>
            <w:rPr>
              <w:rFonts w:hint="eastAsia" w:ascii="宋体" w:hAnsi="宋体" w:eastAsia="宋体" w:cs="宋体"/>
              <w:i w:val="0"/>
              <w:iCs w:val="0"/>
              <w:szCs w:val="21"/>
            </w:rPr>
            <w:t>并发症处置</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_Toc118933193 \h </w:instrText>
          </w:r>
          <w:r>
            <w:rPr>
              <w:rFonts w:hint="eastAsia" w:ascii="宋体" w:hAnsi="宋体" w:eastAsia="宋体" w:cs="宋体"/>
              <w:szCs w:val="21"/>
            </w:rPr>
            <w:fldChar w:fldCharType="separate"/>
          </w:r>
          <w:r>
            <w:rPr>
              <w:rFonts w:hint="eastAsia" w:ascii="宋体" w:hAnsi="宋体" w:eastAsia="宋体" w:cs="宋体"/>
              <w:szCs w:val="21"/>
            </w:rPr>
            <w:t>8</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_Toc1750383041 </w:instrText>
          </w:r>
          <w:r>
            <w:rPr>
              <w:rFonts w:hint="eastAsia" w:ascii="宋体" w:hAnsi="宋体" w:eastAsia="宋体" w:cs="宋体"/>
              <w:szCs w:val="21"/>
            </w:rPr>
            <w:fldChar w:fldCharType="separate"/>
          </w:r>
          <w:r>
            <w:rPr>
              <w:rFonts w:hint="eastAsia" w:ascii="宋体" w:hAnsi="宋体" w:eastAsia="宋体" w:cs="宋体"/>
              <w:i w:val="0"/>
              <w:iCs w:val="0"/>
              <w:szCs w:val="21"/>
            </w:rPr>
            <w:t>6.4.1 一般原则</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_Toc1750383041 \h </w:instrText>
          </w:r>
          <w:r>
            <w:rPr>
              <w:rFonts w:hint="eastAsia" w:ascii="宋体" w:hAnsi="宋体" w:eastAsia="宋体" w:cs="宋体"/>
              <w:szCs w:val="21"/>
            </w:rPr>
            <w:fldChar w:fldCharType="separate"/>
          </w:r>
          <w:r>
            <w:rPr>
              <w:rFonts w:hint="eastAsia" w:ascii="宋体" w:hAnsi="宋体" w:eastAsia="宋体" w:cs="宋体"/>
              <w:szCs w:val="21"/>
            </w:rPr>
            <w:t>8</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_Toc309289834 </w:instrText>
          </w:r>
          <w:r>
            <w:rPr>
              <w:rFonts w:hint="eastAsia" w:ascii="宋体" w:hAnsi="宋体" w:eastAsia="宋体" w:cs="宋体"/>
              <w:szCs w:val="21"/>
            </w:rPr>
            <w:fldChar w:fldCharType="separate"/>
          </w:r>
          <w:r>
            <w:rPr>
              <w:rFonts w:hint="eastAsia" w:ascii="宋体" w:hAnsi="宋体" w:eastAsia="宋体" w:cs="宋体"/>
              <w:i w:val="0"/>
              <w:iCs w:val="0"/>
              <w:szCs w:val="21"/>
            </w:rPr>
            <w:t>6.4.2 常见并发症处置要求</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_Toc309289834 \h </w:instrText>
          </w:r>
          <w:r>
            <w:rPr>
              <w:rFonts w:hint="eastAsia" w:ascii="宋体" w:hAnsi="宋体" w:eastAsia="宋体" w:cs="宋体"/>
              <w:szCs w:val="21"/>
            </w:rPr>
            <w:fldChar w:fldCharType="separate"/>
          </w:r>
          <w:r>
            <w:rPr>
              <w:rFonts w:hint="eastAsia" w:ascii="宋体" w:hAnsi="宋体" w:eastAsia="宋体" w:cs="宋体"/>
              <w:szCs w:val="21"/>
            </w:rPr>
            <w:t>8</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_Toc1323814298 </w:instrText>
          </w:r>
          <w:r>
            <w:rPr>
              <w:rFonts w:hint="eastAsia" w:ascii="宋体" w:hAnsi="宋体" w:eastAsia="宋体" w:cs="宋体"/>
              <w:szCs w:val="21"/>
            </w:rPr>
            <w:fldChar w:fldCharType="separate"/>
          </w:r>
          <w:r>
            <w:rPr>
              <w:rFonts w:hint="eastAsia" w:ascii="宋体" w:hAnsi="宋体" w:eastAsia="宋体" w:cs="宋体"/>
              <w:i w:val="0"/>
              <w:iCs w:val="0"/>
              <w:szCs w:val="21"/>
            </w:rPr>
            <w:t>6.4.3 危重事件应急管理</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_Toc1323814298 \h </w:instrText>
          </w:r>
          <w:r>
            <w:rPr>
              <w:rFonts w:hint="eastAsia" w:ascii="宋体" w:hAnsi="宋体" w:eastAsia="宋体" w:cs="宋体"/>
              <w:szCs w:val="21"/>
            </w:rPr>
            <w:fldChar w:fldCharType="separate"/>
          </w:r>
          <w:r>
            <w:rPr>
              <w:rFonts w:hint="eastAsia" w:ascii="宋体" w:hAnsi="宋体" w:eastAsia="宋体" w:cs="宋体"/>
              <w:szCs w:val="21"/>
            </w:rPr>
            <w:t>8</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_Toc1416323566 </w:instrText>
          </w:r>
          <w:r>
            <w:rPr>
              <w:rFonts w:hint="eastAsia" w:ascii="宋体" w:hAnsi="宋体" w:eastAsia="宋体" w:cs="宋体"/>
              <w:szCs w:val="21"/>
            </w:rPr>
            <w:fldChar w:fldCharType="separate"/>
          </w:r>
          <w:r>
            <w:rPr>
              <w:rFonts w:hint="eastAsia" w:ascii="宋体" w:hAnsi="宋体" w:eastAsia="宋体" w:cs="宋体"/>
              <w:i w:val="0"/>
              <w:iCs w:val="0"/>
              <w:szCs w:val="21"/>
            </w:rPr>
            <w:t>6.4.4 事件记录与分析</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_Toc1416323566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_Toc1441430414 </w:instrText>
          </w:r>
          <w:r>
            <w:rPr>
              <w:rFonts w:hint="eastAsia" w:ascii="宋体" w:hAnsi="宋体" w:eastAsia="宋体" w:cs="宋体"/>
              <w:szCs w:val="21"/>
            </w:rPr>
            <w:fldChar w:fldCharType="separate"/>
          </w:r>
          <w:r>
            <w:rPr>
              <w:rFonts w:hint="eastAsia" w:ascii="宋体" w:hAnsi="宋体" w:eastAsia="宋体" w:cs="宋体"/>
              <w:bCs w:val="0"/>
              <w:szCs w:val="21"/>
            </w:rPr>
            <w:t>6.5 术毕收尾与交接</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_Toc1441430414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_Toc357946291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rPr>
            <w:t>7 术后管理</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_Toc357946291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9</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_Toc901617590 </w:instrText>
          </w:r>
          <w:r>
            <w:rPr>
              <w:rFonts w:hint="eastAsia" w:ascii="宋体" w:hAnsi="宋体" w:eastAsia="宋体" w:cs="宋体"/>
              <w:szCs w:val="21"/>
            </w:rPr>
            <w:fldChar w:fldCharType="separate"/>
          </w:r>
          <w:r>
            <w:rPr>
              <w:rFonts w:hint="eastAsia" w:ascii="宋体" w:hAnsi="宋体" w:eastAsia="宋体" w:cs="宋体"/>
              <w:i w:val="0"/>
              <w:iCs w:val="0"/>
              <w:szCs w:val="21"/>
            </w:rPr>
            <w:t>7.1 一般要求</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_Toc901617590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_Toc842221898 </w:instrText>
          </w:r>
          <w:r>
            <w:rPr>
              <w:rFonts w:hint="eastAsia" w:ascii="宋体" w:hAnsi="宋体" w:eastAsia="宋体" w:cs="宋体"/>
              <w:szCs w:val="21"/>
            </w:rPr>
            <w:fldChar w:fldCharType="separate"/>
          </w:r>
          <w:r>
            <w:rPr>
              <w:rFonts w:hint="eastAsia" w:ascii="宋体" w:hAnsi="宋体" w:eastAsia="宋体" w:cs="宋体"/>
              <w:i w:val="0"/>
              <w:iCs w:val="0"/>
              <w:szCs w:val="21"/>
            </w:rPr>
            <w:t xml:space="preserve">7.2 </w:t>
          </w:r>
          <w:r>
            <w:rPr>
              <w:rFonts w:hint="eastAsia" w:ascii="宋体" w:hAnsi="宋体" w:eastAsia="宋体" w:cs="宋体"/>
              <w:i w:val="0"/>
              <w:iCs w:val="0"/>
              <w:szCs w:val="21"/>
              <w:lang w:val="en-US" w:eastAsia="zh-CN"/>
            </w:rPr>
            <w:t>术后监测</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_Toc842221898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_Toc1158722309 </w:instrText>
          </w:r>
          <w:r>
            <w:rPr>
              <w:rFonts w:hint="eastAsia" w:ascii="宋体" w:hAnsi="宋体" w:eastAsia="宋体" w:cs="宋体"/>
              <w:szCs w:val="21"/>
            </w:rPr>
            <w:fldChar w:fldCharType="separate"/>
          </w:r>
          <w:r>
            <w:rPr>
              <w:rFonts w:hint="eastAsia" w:ascii="宋体" w:hAnsi="宋体" w:eastAsia="宋体" w:cs="宋体"/>
              <w:i w:val="0"/>
              <w:iCs w:val="0"/>
              <w:szCs w:val="21"/>
            </w:rPr>
            <w:t>7.2.1 穿刺部位</w:t>
          </w:r>
          <w:r>
            <w:rPr>
              <w:rFonts w:hint="eastAsia" w:ascii="宋体" w:hAnsi="宋体" w:eastAsia="宋体" w:cs="宋体"/>
              <w:i w:val="0"/>
              <w:iCs w:val="0"/>
              <w:szCs w:val="21"/>
              <w:lang w:val="en-US" w:eastAsia="zh-CN"/>
            </w:rPr>
            <w:t>及血流动力学</w:t>
          </w:r>
          <w:r>
            <w:rPr>
              <w:rFonts w:hint="eastAsia" w:ascii="宋体" w:hAnsi="宋体" w:eastAsia="宋体" w:cs="宋体"/>
              <w:i w:val="0"/>
              <w:iCs w:val="0"/>
              <w:szCs w:val="21"/>
            </w:rPr>
            <w:t>监测</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_Toc1158722309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_Toc1264136367 </w:instrText>
          </w:r>
          <w:r>
            <w:rPr>
              <w:rFonts w:hint="eastAsia" w:ascii="宋体" w:hAnsi="宋体" w:eastAsia="宋体" w:cs="宋体"/>
              <w:szCs w:val="21"/>
            </w:rPr>
            <w:fldChar w:fldCharType="separate"/>
          </w:r>
          <w:r>
            <w:rPr>
              <w:rFonts w:hint="eastAsia" w:ascii="宋体" w:hAnsi="宋体" w:eastAsia="宋体" w:cs="宋体"/>
              <w:i w:val="0"/>
              <w:iCs w:val="0"/>
              <w:szCs w:val="21"/>
            </w:rPr>
            <w:t xml:space="preserve">7.2.2 </w:t>
          </w:r>
          <w:r>
            <w:rPr>
              <w:rFonts w:hint="eastAsia" w:ascii="宋体" w:hAnsi="宋体" w:eastAsia="宋体" w:cs="宋体"/>
              <w:i w:val="0"/>
              <w:iCs w:val="0"/>
              <w:szCs w:val="21"/>
              <w:lang w:val="en-US" w:eastAsia="zh-CN"/>
            </w:rPr>
            <w:t>术后辅助检查</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_Toc1264136367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_Toc1284200398 </w:instrText>
          </w:r>
          <w:r>
            <w:rPr>
              <w:rFonts w:hint="eastAsia" w:ascii="宋体" w:hAnsi="宋体" w:eastAsia="宋体" w:cs="宋体"/>
              <w:szCs w:val="21"/>
            </w:rPr>
            <w:fldChar w:fldCharType="separate"/>
          </w:r>
          <w:r>
            <w:rPr>
              <w:rFonts w:hint="eastAsia" w:ascii="宋体" w:hAnsi="宋体" w:eastAsia="宋体" w:cs="宋体"/>
              <w:i w:val="0"/>
              <w:iCs w:val="0"/>
              <w:szCs w:val="21"/>
            </w:rPr>
            <w:t xml:space="preserve">7.2.3 </w:t>
          </w:r>
          <w:r>
            <w:rPr>
              <w:rFonts w:hint="eastAsia" w:ascii="宋体" w:hAnsi="宋体" w:eastAsia="宋体" w:cs="宋体"/>
              <w:i w:val="0"/>
              <w:iCs w:val="0"/>
              <w:szCs w:val="21"/>
              <w:lang w:val="en-US" w:eastAsia="zh-CN"/>
            </w:rPr>
            <w:t>术后肾功能监测</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_Toc1284200398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_Toc1345436836 </w:instrText>
          </w:r>
          <w:r>
            <w:rPr>
              <w:rFonts w:hint="eastAsia" w:ascii="宋体" w:hAnsi="宋体" w:eastAsia="宋体" w:cs="宋体"/>
              <w:szCs w:val="21"/>
            </w:rPr>
            <w:fldChar w:fldCharType="separate"/>
          </w:r>
          <w:r>
            <w:rPr>
              <w:rFonts w:hint="eastAsia" w:ascii="宋体" w:hAnsi="宋体" w:eastAsia="宋体" w:cs="宋体"/>
              <w:i w:val="0"/>
              <w:iCs w:val="0"/>
              <w:szCs w:val="21"/>
            </w:rPr>
            <w:t xml:space="preserve">7.3 </w:t>
          </w:r>
          <w:r>
            <w:rPr>
              <w:rFonts w:hint="eastAsia" w:ascii="宋体" w:hAnsi="宋体" w:eastAsia="宋体" w:cs="宋体"/>
              <w:i w:val="0"/>
              <w:iCs w:val="0"/>
              <w:szCs w:val="21"/>
              <w:lang w:val="en-US" w:eastAsia="zh-CN"/>
            </w:rPr>
            <w:t>设备使用数据记录</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_Toc1345436836 \h </w:instrText>
          </w:r>
          <w:r>
            <w:rPr>
              <w:rFonts w:hint="eastAsia" w:ascii="宋体" w:hAnsi="宋体" w:eastAsia="宋体" w:cs="宋体"/>
              <w:szCs w:val="21"/>
            </w:rPr>
            <w:fldChar w:fldCharType="separate"/>
          </w:r>
          <w:r>
            <w:rPr>
              <w:rFonts w:hint="eastAsia" w:ascii="宋体" w:hAnsi="宋体" w:eastAsia="宋体" w:cs="宋体"/>
              <w:szCs w:val="21"/>
            </w:rPr>
            <w:t>9</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_Toc1901583389 </w:instrText>
          </w:r>
          <w:r>
            <w:rPr>
              <w:rFonts w:hint="eastAsia" w:ascii="宋体" w:hAnsi="宋体" w:eastAsia="宋体" w:cs="宋体"/>
              <w:szCs w:val="21"/>
            </w:rPr>
            <w:fldChar w:fldCharType="separate"/>
          </w:r>
          <w:r>
            <w:rPr>
              <w:rFonts w:hint="eastAsia" w:ascii="宋体" w:hAnsi="宋体" w:eastAsia="宋体" w:cs="宋体"/>
              <w:i w:val="0"/>
              <w:iCs w:val="0"/>
              <w:szCs w:val="21"/>
            </w:rPr>
            <w:t>7.4 并发症</w:t>
          </w:r>
          <w:r>
            <w:rPr>
              <w:rFonts w:hint="eastAsia" w:ascii="宋体" w:hAnsi="宋体" w:eastAsia="宋体" w:cs="宋体"/>
              <w:i w:val="0"/>
              <w:iCs w:val="0"/>
              <w:szCs w:val="21"/>
              <w:lang w:val="en-US" w:eastAsia="zh-CN"/>
            </w:rPr>
            <w:t>记录与分析</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_Toc1901583389 \h </w:instrText>
          </w:r>
          <w:r>
            <w:rPr>
              <w:rFonts w:hint="eastAsia" w:ascii="宋体" w:hAnsi="宋体" w:eastAsia="宋体" w:cs="宋体"/>
              <w:szCs w:val="21"/>
            </w:rPr>
            <w:fldChar w:fldCharType="separate"/>
          </w:r>
          <w:r>
            <w:rPr>
              <w:rFonts w:hint="eastAsia" w:ascii="宋体" w:hAnsi="宋体" w:eastAsia="宋体" w:cs="宋体"/>
              <w:szCs w:val="21"/>
            </w:rPr>
            <w:t>10</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_Toc1860580554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rPr>
            <w:t>8 质量管理与持续改进</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_Toc1860580554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10</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_Toc1267987111 </w:instrText>
          </w:r>
          <w:r>
            <w:rPr>
              <w:rFonts w:hint="eastAsia" w:ascii="宋体" w:hAnsi="宋体" w:eastAsia="宋体" w:cs="宋体"/>
              <w:szCs w:val="21"/>
            </w:rPr>
            <w:fldChar w:fldCharType="separate"/>
          </w:r>
          <w:r>
            <w:rPr>
              <w:rFonts w:hint="eastAsia" w:ascii="宋体" w:hAnsi="宋体" w:eastAsia="宋体" w:cs="宋体"/>
              <w:i w:val="0"/>
              <w:iCs w:val="0"/>
              <w:szCs w:val="21"/>
            </w:rPr>
            <w:t>8.1 总体要求</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_Toc1267987111 \h </w:instrText>
          </w:r>
          <w:r>
            <w:rPr>
              <w:rFonts w:hint="eastAsia" w:ascii="宋体" w:hAnsi="宋体" w:eastAsia="宋体" w:cs="宋体"/>
              <w:szCs w:val="21"/>
            </w:rPr>
            <w:fldChar w:fldCharType="separate"/>
          </w:r>
          <w:r>
            <w:rPr>
              <w:rFonts w:hint="eastAsia" w:ascii="宋体" w:hAnsi="宋体" w:eastAsia="宋体" w:cs="宋体"/>
              <w:szCs w:val="21"/>
            </w:rPr>
            <w:t>10</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_Toc1579145396 </w:instrText>
          </w:r>
          <w:r>
            <w:rPr>
              <w:rFonts w:hint="eastAsia" w:ascii="宋体" w:hAnsi="宋体" w:eastAsia="宋体" w:cs="宋体"/>
              <w:szCs w:val="21"/>
            </w:rPr>
            <w:fldChar w:fldCharType="separate"/>
          </w:r>
          <w:r>
            <w:rPr>
              <w:rFonts w:hint="eastAsia" w:ascii="宋体" w:hAnsi="宋体" w:eastAsia="宋体" w:cs="宋体"/>
              <w:i w:val="0"/>
              <w:iCs w:val="0"/>
              <w:szCs w:val="21"/>
            </w:rPr>
            <w:t>8.2 质量控制要求</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_Toc1579145396 \h </w:instrText>
          </w:r>
          <w:r>
            <w:rPr>
              <w:rFonts w:hint="eastAsia" w:ascii="宋体" w:hAnsi="宋体" w:eastAsia="宋体" w:cs="宋体"/>
              <w:szCs w:val="21"/>
            </w:rPr>
            <w:fldChar w:fldCharType="separate"/>
          </w:r>
          <w:r>
            <w:rPr>
              <w:rFonts w:hint="eastAsia" w:ascii="宋体" w:hAnsi="宋体" w:eastAsia="宋体" w:cs="宋体"/>
              <w:szCs w:val="21"/>
            </w:rPr>
            <w:t>10</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lang w:val="en-US" w:eastAsia="zh-CN"/>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_Toc2093760946 </w:instrText>
          </w:r>
          <w:r>
            <w:rPr>
              <w:rFonts w:hint="eastAsia" w:ascii="宋体" w:hAnsi="宋体" w:eastAsia="宋体" w:cs="宋体"/>
              <w:szCs w:val="21"/>
            </w:rPr>
            <w:fldChar w:fldCharType="separate"/>
          </w:r>
          <w:r>
            <w:rPr>
              <w:rFonts w:hint="eastAsia" w:ascii="宋体" w:hAnsi="宋体" w:eastAsia="宋体" w:cs="宋体"/>
              <w:i w:val="0"/>
              <w:iCs w:val="0"/>
              <w:szCs w:val="21"/>
            </w:rPr>
            <w:t>8.3 设备运行与维护保障</w:t>
          </w:r>
          <w:r>
            <w:rPr>
              <w:rFonts w:hint="eastAsia" w:ascii="宋体" w:hAnsi="宋体" w:eastAsia="宋体" w:cs="宋体"/>
              <w:szCs w:val="21"/>
            </w:rPr>
            <w:tab/>
          </w:r>
          <w:r>
            <w:rPr>
              <w:rFonts w:hint="eastAsia" w:ascii="宋体" w:hAnsi="宋体" w:eastAsia="宋体" w:cs="宋体"/>
              <w:szCs w:val="21"/>
              <w:lang w:val="en-US" w:eastAsia="zh-CN"/>
            </w:rPr>
            <w:t>1</w:t>
          </w:r>
          <w:r>
            <w:rPr>
              <w:rFonts w:hint="eastAsia" w:ascii="宋体" w:hAnsi="宋体" w:eastAsia="宋体" w:cs="宋体"/>
              <w:szCs w:val="21"/>
            </w:rPr>
            <w:fldChar w:fldCharType="end"/>
          </w:r>
          <w:r>
            <w:rPr>
              <w:rFonts w:hint="eastAsia" w:ascii="宋体" w:hAnsi="宋体" w:eastAsia="宋体" w:cs="宋体"/>
              <w:szCs w:val="21"/>
              <w:lang w:val="en-US" w:eastAsia="zh-CN"/>
            </w:rPr>
            <w:t>0</w:t>
          </w:r>
        </w:p>
        <w:p>
          <w:pPr>
            <w:pStyle w:val="4"/>
            <w:tabs>
              <w:tab w:val="right" w:leader="dot" w:pos="8312"/>
            </w:tabs>
            <w:rPr>
              <w:rFonts w:hint="eastAsia" w:ascii="宋体" w:hAnsi="宋体" w:eastAsia="宋体" w:cs="宋体"/>
              <w:szCs w:val="21"/>
              <w:lang w:val="en-US" w:eastAsia="zh-CN"/>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_Toc1750383041 </w:instrText>
          </w:r>
          <w:r>
            <w:rPr>
              <w:rFonts w:hint="eastAsia" w:ascii="宋体" w:hAnsi="宋体" w:eastAsia="宋体" w:cs="宋体"/>
              <w:szCs w:val="21"/>
            </w:rPr>
            <w:fldChar w:fldCharType="separate"/>
          </w:r>
          <w:r>
            <w:rPr>
              <w:rFonts w:hint="eastAsia" w:ascii="宋体" w:hAnsi="宋体" w:eastAsia="宋体" w:cs="宋体"/>
              <w:szCs w:val="21"/>
              <w:lang w:val="en-US" w:eastAsia="zh-CN"/>
            </w:rPr>
            <w:t>8</w:t>
          </w:r>
          <w:r>
            <w:rPr>
              <w:rFonts w:hint="eastAsia" w:ascii="宋体" w:hAnsi="宋体" w:eastAsia="宋体" w:cs="宋体"/>
              <w:i w:val="0"/>
              <w:iCs w:val="0"/>
              <w:szCs w:val="21"/>
            </w:rPr>
            <w:t>.</w:t>
          </w:r>
          <w:r>
            <w:rPr>
              <w:rFonts w:hint="eastAsia" w:ascii="宋体" w:hAnsi="宋体" w:eastAsia="宋体" w:cs="宋体"/>
              <w:i w:val="0"/>
              <w:iCs w:val="0"/>
              <w:szCs w:val="21"/>
              <w:lang w:val="en-US" w:eastAsia="zh-CN"/>
            </w:rPr>
            <w:t>3</w:t>
          </w:r>
          <w:r>
            <w:rPr>
              <w:rFonts w:hint="eastAsia" w:ascii="宋体" w:hAnsi="宋体" w:eastAsia="宋体" w:cs="宋体"/>
              <w:i w:val="0"/>
              <w:iCs w:val="0"/>
              <w:szCs w:val="21"/>
            </w:rPr>
            <w:t xml:space="preserve">.1 </w:t>
          </w:r>
          <w:r>
            <w:rPr>
              <w:rFonts w:hint="eastAsia" w:ascii="宋体" w:hAnsi="宋体" w:eastAsia="宋体" w:cs="宋体"/>
              <w:i w:val="0"/>
              <w:iCs w:val="0"/>
              <w:szCs w:val="21"/>
              <w:lang w:val="en-US" w:eastAsia="zh-CN"/>
            </w:rPr>
            <w:t>日常巡检</w:t>
          </w:r>
          <w:r>
            <w:rPr>
              <w:rFonts w:hint="eastAsia" w:ascii="宋体" w:hAnsi="宋体" w:eastAsia="宋体" w:cs="宋体"/>
              <w:szCs w:val="21"/>
            </w:rPr>
            <w:tab/>
          </w:r>
          <w:r>
            <w:rPr>
              <w:rFonts w:hint="eastAsia" w:ascii="宋体" w:hAnsi="宋体" w:eastAsia="宋体" w:cs="宋体"/>
              <w:szCs w:val="21"/>
              <w:lang w:val="en-US" w:eastAsia="zh-CN"/>
            </w:rPr>
            <w:t>1</w:t>
          </w:r>
          <w:r>
            <w:rPr>
              <w:rFonts w:hint="eastAsia" w:ascii="宋体" w:hAnsi="宋体" w:eastAsia="宋体" w:cs="宋体"/>
              <w:szCs w:val="21"/>
            </w:rPr>
            <w:fldChar w:fldCharType="end"/>
          </w:r>
          <w:r>
            <w:rPr>
              <w:rFonts w:hint="eastAsia" w:ascii="宋体" w:hAnsi="宋体" w:eastAsia="宋体" w:cs="宋体"/>
              <w:szCs w:val="21"/>
              <w:lang w:val="en-US" w:eastAsia="zh-CN"/>
            </w:rPr>
            <w:t>0</w:t>
          </w:r>
        </w:p>
        <w:p>
          <w:pPr>
            <w:pStyle w:val="4"/>
            <w:tabs>
              <w:tab w:val="right" w:leader="dot" w:pos="8312"/>
            </w:tabs>
            <w:rPr>
              <w:rFonts w:hint="eastAsia" w:ascii="宋体" w:hAnsi="宋体" w:eastAsia="宋体" w:cs="宋体"/>
              <w:szCs w:val="21"/>
              <w:lang w:val="en-US" w:eastAsia="zh-CN"/>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_Toc309289834 </w:instrText>
          </w:r>
          <w:r>
            <w:rPr>
              <w:rFonts w:hint="eastAsia" w:ascii="宋体" w:hAnsi="宋体" w:eastAsia="宋体" w:cs="宋体"/>
              <w:szCs w:val="21"/>
            </w:rPr>
            <w:fldChar w:fldCharType="separate"/>
          </w:r>
          <w:r>
            <w:rPr>
              <w:rFonts w:hint="eastAsia" w:ascii="宋体" w:hAnsi="宋体" w:eastAsia="宋体" w:cs="宋体"/>
              <w:i w:val="0"/>
              <w:iCs w:val="0"/>
              <w:szCs w:val="21"/>
              <w:lang w:val="en-US" w:eastAsia="zh-CN"/>
            </w:rPr>
            <w:t>8.3.2</w:t>
          </w:r>
          <w:r>
            <w:rPr>
              <w:rFonts w:hint="eastAsia" w:ascii="宋体" w:hAnsi="宋体" w:eastAsia="宋体" w:cs="宋体"/>
              <w:i w:val="0"/>
              <w:iCs w:val="0"/>
              <w:szCs w:val="21"/>
            </w:rPr>
            <w:t xml:space="preserve"> </w:t>
          </w:r>
          <w:r>
            <w:rPr>
              <w:rFonts w:hint="eastAsia" w:ascii="宋体" w:hAnsi="宋体" w:eastAsia="宋体" w:cs="宋体"/>
              <w:i w:val="0"/>
              <w:iCs w:val="0"/>
              <w:szCs w:val="21"/>
              <w:lang w:val="en-US" w:eastAsia="zh-CN"/>
            </w:rPr>
            <w:t>定期维护与校准</w:t>
          </w:r>
          <w:r>
            <w:rPr>
              <w:rFonts w:hint="eastAsia" w:ascii="宋体" w:hAnsi="宋体" w:eastAsia="宋体" w:cs="宋体"/>
              <w:szCs w:val="21"/>
            </w:rPr>
            <w:tab/>
          </w:r>
          <w:r>
            <w:rPr>
              <w:rFonts w:hint="eastAsia" w:ascii="宋体" w:hAnsi="宋体" w:eastAsia="宋体" w:cs="宋体"/>
              <w:szCs w:val="21"/>
              <w:lang w:val="en-US" w:eastAsia="zh-CN"/>
            </w:rPr>
            <w:t>1</w:t>
          </w:r>
          <w:r>
            <w:rPr>
              <w:rFonts w:hint="eastAsia" w:ascii="宋体" w:hAnsi="宋体" w:eastAsia="宋体" w:cs="宋体"/>
              <w:szCs w:val="21"/>
            </w:rPr>
            <w:fldChar w:fldCharType="end"/>
          </w:r>
          <w:r>
            <w:rPr>
              <w:rFonts w:hint="eastAsia" w:ascii="宋体" w:hAnsi="宋体" w:eastAsia="宋体" w:cs="宋体"/>
              <w:szCs w:val="21"/>
              <w:lang w:val="en-US" w:eastAsia="zh-CN"/>
            </w:rPr>
            <w:t>0</w:t>
          </w:r>
        </w:p>
        <w:p>
          <w:pPr>
            <w:pStyle w:val="4"/>
            <w:tabs>
              <w:tab w:val="right" w:leader="dot" w:pos="8312"/>
            </w:tabs>
            <w:rPr>
              <w:rFonts w:hint="eastAsia" w:ascii="宋体" w:hAnsi="宋体" w:eastAsia="宋体" w:cs="宋体"/>
              <w:szCs w:val="21"/>
              <w:lang w:val="en-US" w:eastAsia="zh-CN"/>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_Toc1323814298 </w:instrText>
          </w:r>
          <w:r>
            <w:rPr>
              <w:rFonts w:hint="eastAsia" w:ascii="宋体" w:hAnsi="宋体" w:eastAsia="宋体" w:cs="宋体"/>
              <w:szCs w:val="21"/>
            </w:rPr>
            <w:fldChar w:fldCharType="separate"/>
          </w:r>
          <w:r>
            <w:rPr>
              <w:rFonts w:hint="eastAsia" w:ascii="宋体" w:hAnsi="宋体" w:eastAsia="宋体" w:cs="宋体"/>
              <w:szCs w:val="21"/>
              <w:lang w:val="en-US" w:eastAsia="zh-CN"/>
            </w:rPr>
            <w:t>8</w:t>
          </w:r>
          <w:r>
            <w:rPr>
              <w:rFonts w:hint="eastAsia" w:ascii="宋体" w:hAnsi="宋体" w:eastAsia="宋体" w:cs="宋体"/>
              <w:i w:val="0"/>
              <w:iCs w:val="0"/>
              <w:szCs w:val="21"/>
            </w:rPr>
            <w:t>.</w:t>
          </w:r>
          <w:r>
            <w:rPr>
              <w:rFonts w:hint="eastAsia" w:ascii="宋体" w:hAnsi="宋体" w:eastAsia="宋体" w:cs="宋体"/>
              <w:i w:val="0"/>
              <w:iCs w:val="0"/>
              <w:szCs w:val="21"/>
              <w:lang w:val="en-US" w:eastAsia="zh-CN"/>
            </w:rPr>
            <w:t>3</w:t>
          </w:r>
          <w:r>
            <w:rPr>
              <w:rFonts w:hint="eastAsia" w:ascii="宋体" w:hAnsi="宋体" w:eastAsia="宋体" w:cs="宋体"/>
              <w:i w:val="0"/>
              <w:iCs w:val="0"/>
              <w:szCs w:val="21"/>
            </w:rPr>
            <w:t xml:space="preserve">.3 </w:t>
          </w:r>
          <w:r>
            <w:rPr>
              <w:rFonts w:hint="eastAsia" w:ascii="宋体" w:hAnsi="宋体" w:eastAsia="宋体" w:cs="宋体"/>
              <w:i w:val="0"/>
              <w:iCs w:val="0"/>
              <w:szCs w:val="21"/>
              <w:lang w:val="en-US" w:eastAsia="zh-CN"/>
            </w:rPr>
            <w:t>故障管理</w:t>
          </w:r>
          <w:r>
            <w:rPr>
              <w:rFonts w:hint="eastAsia" w:ascii="宋体" w:hAnsi="宋体" w:eastAsia="宋体" w:cs="宋体"/>
              <w:szCs w:val="21"/>
            </w:rPr>
            <w:tab/>
          </w:r>
          <w:r>
            <w:rPr>
              <w:rFonts w:hint="eastAsia" w:ascii="宋体" w:hAnsi="宋体" w:eastAsia="宋体" w:cs="宋体"/>
              <w:szCs w:val="21"/>
              <w:lang w:val="en-US" w:eastAsia="zh-CN"/>
            </w:rPr>
            <w:t>1</w:t>
          </w:r>
          <w:r>
            <w:rPr>
              <w:rFonts w:hint="eastAsia" w:ascii="宋体" w:hAnsi="宋体" w:eastAsia="宋体" w:cs="宋体"/>
              <w:szCs w:val="21"/>
            </w:rPr>
            <w:fldChar w:fldCharType="end"/>
          </w:r>
          <w:r>
            <w:rPr>
              <w:rFonts w:hint="eastAsia" w:ascii="宋体" w:hAnsi="宋体" w:eastAsia="宋体" w:cs="宋体"/>
              <w:szCs w:val="21"/>
              <w:lang w:val="en-US" w:eastAsia="zh-CN"/>
            </w:rPr>
            <w:t>1</w:t>
          </w:r>
        </w:p>
        <w:p>
          <w:pPr>
            <w:pStyle w:val="4"/>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_Toc1416323566 </w:instrText>
          </w:r>
          <w:r>
            <w:rPr>
              <w:rFonts w:hint="eastAsia" w:ascii="宋体" w:hAnsi="宋体" w:eastAsia="宋体" w:cs="宋体"/>
              <w:szCs w:val="21"/>
            </w:rPr>
            <w:fldChar w:fldCharType="separate"/>
          </w:r>
          <w:r>
            <w:rPr>
              <w:rFonts w:hint="eastAsia" w:ascii="宋体" w:hAnsi="宋体" w:eastAsia="宋体" w:cs="宋体"/>
              <w:szCs w:val="21"/>
              <w:lang w:val="en-US" w:eastAsia="zh-CN"/>
            </w:rPr>
            <w:t>8</w:t>
          </w:r>
          <w:r>
            <w:rPr>
              <w:rFonts w:hint="eastAsia" w:ascii="宋体" w:hAnsi="宋体" w:eastAsia="宋体" w:cs="宋体"/>
              <w:i w:val="0"/>
              <w:iCs w:val="0"/>
              <w:szCs w:val="21"/>
            </w:rPr>
            <w:t>.</w:t>
          </w:r>
          <w:r>
            <w:rPr>
              <w:rFonts w:hint="eastAsia" w:ascii="宋体" w:hAnsi="宋体" w:eastAsia="宋体" w:cs="宋体"/>
              <w:i w:val="0"/>
              <w:iCs w:val="0"/>
              <w:szCs w:val="21"/>
              <w:lang w:val="en-US" w:eastAsia="zh-CN"/>
            </w:rPr>
            <w:t>3</w:t>
          </w:r>
          <w:r>
            <w:rPr>
              <w:rFonts w:hint="eastAsia" w:ascii="宋体" w:hAnsi="宋体" w:eastAsia="宋体" w:cs="宋体"/>
              <w:i w:val="0"/>
              <w:iCs w:val="0"/>
              <w:szCs w:val="21"/>
            </w:rPr>
            <w:t xml:space="preserve">.4 </w:t>
          </w:r>
          <w:r>
            <w:rPr>
              <w:rFonts w:hint="eastAsia" w:ascii="宋体" w:hAnsi="宋体" w:eastAsia="宋体" w:cs="宋体"/>
              <w:i w:val="0"/>
              <w:iCs w:val="0"/>
              <w:szCs w:val="21"/>
              <w:lang w:val="en-US" w:eastAsia="zh-CN"/>
            </w:rPr>
            <w:t>档案管理</w:t>
          </w:r>
          <w:r>
            <w:rPr>
              <w:rFonts w:hint="eastAsia" w:ascii="宋体" w:hAnsi="宋体" w:eastAsia="宋体" w:cs="宋体"/>
              <w:szCs w:val="21"/>
            </w:rPr>
            <w:tab/>
          </w:r>
          <w:r>
            <w:rPr>
              <w:rFonts w:hint="eastAsia" w:ascii="宋体" w:hAnsi="宋体" w:eastAsia="宋体" w:cs="宋体"/>
              <w:szCs w:val="21"/>
              <w:lang w:val="en-US" w:eastAsia="zh-CN"/>
            </w:rPr>
            <w:t>1</w:t>
          </w:r>
          <w:r>
            <w:rPr>
              <w:rFonts w:hint="eastAsia" w:ascii="宋体" w:hAnsi="宋体" w:eastAsia="宋体" w:cs="宋体"/>
              <w:szCs w:val="21"/>
            </w:rPr>
            <w:fldChar w:fldCharType="end"/>
          </w:r>
          <w:r>
            <w:rPr>
              <w:rFonts w:hint="eastAsia" w:ascii="宋体" w:hAnsi="宋体" w:eastAsia="宋体" w:cs="宋体"/>
              <w:szCs w:val="21"/>
              <w:lang w:val="en-US" w:eastAsia="zh-CN"/>
            </w:rPr>
            <w:t>1</w:t>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_Toc1583518653 </w:instrText>
          </w:r>
          <w:r>
            <w:rPr>
              <w:rFonts w:hint="eastAsia" w:ascii="宋体" w:hAnsi="宋体" w:eastAsia="宋体" w:cs="宋体"/>
              <w:szCs w:val="21"/>
            </w:rPr>
            <w:fldChar w:fldCharType="separate"/>
          </w:r>
          <w:r>
            <w:rPr>
              <w:rFonts w:hint="eastAsia" w:ascii="宋体" w:hAnsi="宋体" w:eastAsia="宋体" w:cs="宋体"/>
              <w:i w:val="0"/>
              <w:iCs w:val="0"/>
              <w:szCs w:val="21"/>
            </w:rPr>
            <w:t>8.</w:t>
          </w:r>
          <w:r>
            <w:rPr>
              <w:rFonts w:hint="eastAsia" w:ascii="宋体" w:hAnsi="宋体" w:eastAsia="宋体" w:cs="宋体"/>
              <w:i w:val="0"/>
              <w:iCs w:val="0"/>
              <w:szCs w:val="21"/>
              <w:lang w:val="en-US" w:eastAsia="zh-CN"/>
            </w:rPr>
            <w:t>4</w:t>
          </w:r>
          <w:r>
            <w:rPr>
              <w:rFonts w:hint="eastAsia" w:ascii="宋体" w:hAnsi="宋体" w:eastAsia="宋体" w:cs="宋体"/>
              <w:i w:val="0"/>
              <w:iCs w:val="0"/>
              <w:szCs w:val="21"/>
            </w:rPr>
            <w:t xml:space="preserve"> </w:t>
          </w:r>
          <w:r>
            <w:rPr>
              <w:rFonts w:hint="eastAsia" w:ascii="宋体" w:hAnsi="宋体" w:eastAsia="宋体" w:cs="宋体"/>
              <w:i w:val="0"/>
              <w:iCs w:val="0"/>
              <w:szCs w:val="21"/>
              <w:lang w:val="en-US" w:eastAsia="zh-CN"/>
            </w:rPr>
            <w:t>质量</w:t>
          </w:r>
          <w:r>
            <w:rPr>
              <w:rFonts w:hint="eastAsia" w:ascii="宋体" w:hAnsi="宋体" w:eastAsia="宋体" w:cs="宋体"/>
              <w:i w:val="0"/>
              <w:iCs w:val="0"/>
              <w:szCs w:val="21"/>
            </w:rPr>
            <w:t>数据采集与分析</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_Toc1583518653 \h </w:instrText>
          </w:r>
          <w:r>
            <w:rPr>
              <w:rFonts w:hint="eastAsia" w:ascii="宋体" w:hAnsi="宋体" w:eastAsia="宋体" w:cs="宋体"/>
              <w:szCs w:val="21"/>
            </w:rPr>
            <w:fldChar w:fldCharType="separate"/>
          </w:r>
          <w:r>
            <w:rPr>
              <w:rFonts w:hint="eastAsia" w:ascii="宋体" w:hAnsi="宋体" w:eastAsia="宋体" w:cs="宋体"/>
              <w:szCs w:val="21"/>
            </w:rPr>
            <w:t>11</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_Toc433163700 </w:instrText>
          </w:r>
          <w:r>
            <w:rPr>
              <w:rFonts w:hint="eastAsia" w:ascii="宋体" w:hAnsi="宋体" w:eastAsia="宋体" w:cs="宋体"/>
              <w:szCs w:val="21"/>
            </w:rPr>
            <w:fldChar w:fldCharType="separate"/>
          </w:r>
          <w:r>
            <w:rPr>
              <w:rFonts w:hint="eastAsia" w:ascii="宋体" w:hAnsi="宋体" w:eastAsia="宋体" w:cs="宋体"/>
              <w:i w:val="0"/>
              <w:iCs w:val="0"/>
              <w:szCs w:val="21"/>
            </w:rPr>
            <w:t>8.</w:t>
          </w:r>
          <w:r>
            <w:rPr>
              <w:rFonts w:hint="eastAsia" w:ascii="宋体" w:hAnsi="宋体" w:eastAsia="宋体" w:cs="宋体"/>
              <w:i w:val="0"/>
              <w:iCs w:val="0"/>
              <w:szCs w:val="21"/>
              <w:lang w:val="en-US" w:eastAsia="zh-CN"/>
            </w:rPr>
            <w:t>5</w:t>
          </w:r>
          <w:r>
            <w:rPr>
              <w:rFonts w:hint="eastAsia" w:ascii="宋体" w:hAnsi="宋体" w:eastAsia="宋体" w:cs="宋体"/>
              <w:i w:val="0"/>
              <w:iCs w:val="0"/>
              <w:szCs w:val="21"/>
            </w:rPr>
            <w:t xml:space="preserve"> 内部审核与质量评估</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_Toc433163700 \h </w:instrText>
          </w:r>
          <w:r>
            <w:rPr>
              <w:rFonts w:hint="eastAsia" w:ascii="宋体" w:hAnsi="宋体" w:eastAsia="宋体" w:cs="宋体"/>
              <w:szCs w:val="21"/>
            </w:rPr>
            <w:fldChar w:fldCharType="separate"/>
          </w:r>
          <w:r>
            <w:rPr>
              <w:rFonts w:hint="eastAsia" w:ascii="宋体" w:hAnsi="宋体" w:eastAsia="宋体" w:cs="宋体"/>
              <w:szCs w:val="21"/>
            </w:rPr>
            <w:t>11</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_Toc212742570 </w:instrText>
          </w:r>
          <w:r>
            <w:rPr>
              <w:rFonts w:hint="eastAsia" w:ascii="宋体" w:hAnsi="宋体" w:eastAsia="宋体" w:cs="宋体"/>
              <w:szCs w:val="21"/>
            </w:rPr>
            <w:fldChar w:fldCharType="separate"/>
          </w:r>
          <w:r>
            <w:rPr>
              <w:rFonts w:hint="eastAsia" w:ascii="宋体" w:hAnsi="宋体" w:eastAsia="宋体" w:cs="宋体"/>
              <w:i w:val="0"/>
              <w:iCs w:val="0"/>
              <w:szCs w:val="21"/>
            </w:rPr>
            <w:t>8.</w:t>
          </w:r>
          <w:r>
            <w:rPr>
              <w:rFonts w:hint="eastAsia" w:ascii="宋体" w:hAnsi="宋体" w:eastAsia="宋体" w:cs="宋体"/>
              <w:i w:val="0"/>
              <w:iCs w:val="0"/>
              <w:szCs w:val="21"/>
              <w:lang w:val="en-US" w:eastAsia="zh-CN"/>
            </w:rPr>
            <w:t>6</w:t>
          </w:r>
          <w:r>
            <w:rPr>
              <w:rFonts w:hint="eastAsia" w:ascii="宋体" w:hAnsi="宋体" w:eastAsia="宋体" w:cs="宋体"/>
              <w:i w:val="0"/>
              <w:iCs w:val="0"/>
              <w:szCs w:val="21"/>
            </w:rPr>
            <w:t xml:space="preserve"> 持续改进机制</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_Toc212742570 \h </w:instrText>
          </w:r>
          <w:r>
            <w:rPr>
              <w:rFonts w:hint="eastAsia" w:ascii="宋体" w:hAnsi="宋体" w:eastAsia="宋体" w:cs="宋体"/>
              <w:szCs w:val="21"/>
            </w:rPr>
            <w:fldChar w:fldCharType="separate"/>
          </w:r>
          <w:r>
            <w:rPr>
              <w:rFonts w:hint="eastAsia" w:ascii="宋体" w:hAnsi="宋体" w:eastAsia="宋体" w:cs="宋体"/>
              <w:szCs w:val="21"/>
            </w:rPr>
            <w:t>11</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_Toc4101735 </w:instrText>
          </w:r>
          <w:r>
            <w:rPr>
              <w:rFonts w:hint="eastAsia" w:ascii="宋体" w:hAnsi="宋体" w:eastAsia="宋体" w:cs="宋体"/>
              <w:szCs w:val="21"/>
            </w:rPr>
            <w:fldChar w:fldCharType="separate"/>
          </w:r>
          <w:r>
            <w:rPr>
              <w:rFonts w:hint="eastAsia" w:ascii="宋体" w:hAnsi="宋体" w:eastAsia="宋体" w:cs="宋体"/>
              <w:i w:val="0"/>
              <w:iCs w:val="0"/>
              <w:szCs w:val="21"/>
            </w:rPr>
            <w:t>8.</w:t>
          </w:r>
          <w:r>
            <w:rPr>
              <w:rFonts w:hint="eastAsia" w:ascii="宋体" w:hAnsi="宋体" w:eastAsia="宋体" w:cs="宋体"/>
              <w:i w:val="0"/>
              <w:iCs w:val="0"/>
              <w:szCs w:val="21"/>
              <w:lang w:val="en-US" w:eastAsia="zh-CN"/>
            </w:rPr>
            <w:t>7</w:t>
          </w:r>
          <w:r>
            <w:rPr>
              <w:rFonts w:hint="eastAsia" w:ascii="宋体" w:hAnsi="宋体" w:eastAsia="宋体" w:cs="宋体"/>
              <w:i w:val="0"/>
              <w:iCs w:val="0"/>
              <w:szCs w:val="21"/>
            </w:rPr>
            <w:t xml:space="preserve"> 持续培训与能力建设</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_Toc4101735 \h </w:instrText>
          </w:r>
          <w:r>
            <w:rPr>
              <w:rFonts w:hint="eastAsia" w:ascii="宋体" w:hAnsi="宋体" w:eastAsia="宋体" w:cs="宋体"/>
              <w:szCs w:val="21"/>
            </w:rPr>
            <w:fldChar w:fldCharType="separate"/>
          </w:r>
          <w:r>
            <w:rPr>
              <w:rFonts w:hint="eastAsia" w:ascii="宋体" w:hAnsi="宋体" w:eastAsia="宋体" w:cs="宋体"/>
              <w:szCs w:val="21"/>
            </w:rPr>
            <w:t>11</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9"/>
            <w:tabs>
              <w:tab w:val="right" w:leader="dot" w:pos="8312"/>
            </w:tabs>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_Toc218383441 </w:instrText>
          </w:r>
          <w:r>
            <w:rPr>
              <w:rFonts w:hint="eastAsia" w:ascii="宋体" w:hAnsi="宋体" w:eastAsia="宋体" w:cs="宋体"/>
              <w:szCs w:val="21"/>
            </w:rPr>
            <w:fldChar w:fldCharType="separate"/>
          </w:r>
          <w:r>
            <w:rPr>
              <w:rFonts w:hint="eastAsia" w:ascii="宋体" w:hAnsi="宋体" w:eastAsia="宋体" w:cs="宋体"/>
              <w:i w:val="0"/>
              <w:iCs w:val="0"/>
              <w:szCs w:val="21"/>
            </w:rPr>
            <w:t>8.</w:t>
          </w:r>
          <w:r>
            <w:rPr>
              <w:rFonts w:hint="eastAsia" w:ascii="宋体" w:hAnsi="宋体" w:eastAsia="宋体" w:cs="宋体"/>
              <w:i w:val="0"/>
              <w:iCs w:val="0"/>
              <w:szCs w:val="21"/>
              <w:lang w:val="en-US" w:eastAsia="zh-CN"/>
            </w:rPr>
            <w:t>8</w:t>
          </w:r>
          <w:r>
            <w:rPr>
              <w:rFonts w:hint="eastAsia" w:ascii="宋体" w:hAnsi="宋体" w:eastAsia="宋体" w:cs="宋体"/>
              <w:i w:val="0"/>
              <w:iCs w:val="0"/>
              <w:szCs w:val="21"/>
            </w:rPr>
            <w:t xml:space="preserve"> 质量改进档案与信息共享</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_Toc218383441 \h </w:instrText>
          </w:r>
          <w:r>
            <w:rPr>
              <w:rFonts w:hint="eastAsia" w:ascii="宋体" w:hAnsi="宋体" w:eastAsia="宋体" w:cs="宋体"/>
              <w:szCs w:val="21"/>
            </w:rPr>
            <w:fldChar w:fldCharType="separate"/>
          </w:r>
          <w:r>
            <w:rPr>
              <w:rFonts w:hint="eastAsia" w:ascii="宋体" w:hAnsi="宋体" w:eastAsia="宋体" w:cs="宋体"/>
              <w:szCs w:val="21"/>
            </w:rPr>
            <w:t>12</w:t>
          </w:r>
          <w:r>
            <w:rPr>
              <w:rFonts w:hint="eastAsia" w:ascii="宋体" w:hAnsi="宋体" w:eastAsia="宋体" w:cs="宋体"/>
              <w:szCs w:val="21"/>
            </w:rPr>
            <w:fldChar w:fldCharType="end"/>
          </w:r>
          <w:r>
            <w:rPr>
              <w:rFonts w:hint="eastAsia" w:ascii="宋体" w:hAnsi="宋体" w:eastAsia="宋体" w:cs="宋体"/>
              <w:szCs w:val="21"/>
            </w:rPr>
            <w:fldChar w:fldCharType="end"/>
          </w:r>
        </w:p>
        <w:p>
          <w:pPr>
            <w:pStyle w:val="8"/>
            <w:tabs>
              <w:tab w:val="right" w:leader="dot" w:pos="8312"/>
            </w:tabs>
            <w:rPr>
              <w:rFonts w:hint="eastAsia" w:ascii="宋体" w:hAnsi="宋体" w:eastAsia="宋体" w:cs="宋体"/>
              <w:b w:val="0"/>
              <w:bCs w:val="0"/>
              <w:sz w:val="21"/>
              <w:szCs w:val="21"/>
            </w:rPr>
          </w:pP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HYPERLINK \l _Toc1810745834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i w:val="0"/>
              <w:iCs w:val="0"/>
              <w:sz w:val="21"/>
              <w:szCs w:val="21"/>
            </w:rPr>
            <w:t>参 考 文 献</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_Toc1810745834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14</w:t>
          </w:r>
          <w:r>
            <w:rPr>
              <w:rFonts w:hint="eastAsia" w:ascii="宋体" w:hAnsi="宋体" w:eastAsia="宋体" w:cs="宋体"/>
              <w:b w:val="0"/>
              <w:bCs w:val="0"/>
              <w:sz w:val="21"/>
              <w:szCs w:val="21"/>
            </w:rPr>
            <w:fldChar w:fldCharType="end"/>
          </w:r>
          <w:r>
            <w:rPr>
              <w:rFonts w:hint="eastAsia" w:ascii="宋体" w:hAnsi="宋体" w:eastAsia="宋体" w:cs="宋体"/>
              <w:b w:val="0"/>
              <w:bCs w:val="0"/>
              <w:sz w:val="21"/>
              <w:szCs w:val="21"/>
            </w:rPr>
            <w:fldChar w:fldCharType="end"/>
          </w:r>
        </w:p>
        <w:p>
          <w:pPr>
            <w:keepNext w:val="0"/>
            <w:keepLines w:val="0"/>
            <w:pageBreakBefore w:val="0"/>
            <w:kinsoku/>
            <w:wordWrap/>
            <w:overflowPunct/>
            <w:topLinePunct w:val="0"/>
            <w:bidi w:val="0"/>
            <w:adjustRightInd/>
            <w:spacing w:line="360" w:lineRule="exact"/>
            <w:textAlignment w:val="auto"/>
            <w:rPr>
              <w:rFonts w:hint="eastAsia" w:ascii="宋体" w:hAnsi="宋体" w:eastAsia="宋体" w:cs="宋体"/>
              <w:i w:val="0"/>
              <w:iCs w:val="0"/>
              <w:color w:val="auto"/>
              <w:kern w:val="0"/>
              <w:sz w:val="21"/>
              <w:szCs w:val="21"/>
            </w:rPr>
          </w:pPr>
          <w:r>
            <w:rPr>
              <w:rFonts w:hint="eastAsia" w:ascii="宋体" w:hAnsi="宋体" w:eastAsia="宋体" w:cs="宋体"/>
              <w:szCs w:val="21"/>
            </w:rPr>
            <w:fldChar w:fldCharType="end"/>
          </w:r>
        </w:p>
      </w:sdtContent>
    </w:sdt>
    <w:p>
      <w:pPr>
        <w:keepNext w:val="0"/>
        <w:keepLines w:val="0"/>
        <w:pageBreakBefore w:val="0"/>
        <w:kinsoku/>
        <w:wordWrap/>
        <w:overflowPunct/>
        <w:topLinePunct w:val="0"/>
        <w:bidi w:val="0"/>
        <w:adjustRightInd/>
        <w:spacing w:line="360" w:lineRule="exact"/>
        <w:ind w:firstLine="420" w:firstLineChars="200"/>
        <w:textAlignment w:val="auto"/>
        <w:rPr>
          <w:i w:val="0"/>
          <w:iCs w:val="0"/>
          <w:color w:val="auto"/>
        </w:rPr>
      </w:pPr>
      <w:r>
        <w:rPr>
          <w:i w:val="0"/>
          <w:iCs w:val="0"/>
          <w:color w:val="auto"/>
        </w:rPr>
        <w:br w:type="page"/>
      </w:r>
    </w:p>
    <w:p>
      <w:pPr>
        <w:pStyle w:val="18"/>
        <w:keepNext w:val="0"/>
        <w:keepLines w:val="0"/>
        <w:pageBreakBefore w:val="0"/>
        <w:kinsoku/>
        <w:wordWrap/>
        <w:overflowPunct/>
        <w:topLinePunct w:val="0"/>
        <w:bidi w:val="0"/>
        <w:adjustRightInd/>
        <w:spacing w:line="360" w:lineRule="exact"/>
        <w:ind w:firstLine="420"/>
        <w:textAlignment w:val="auto"/>
        <w:rPr>
          <w:rFonts w:hint="eastAsia" w:ascii="Times New Roman"/>
          <w:i w:val="0"/>
          <w:iCs w:val="0"/>
          <w:color w:val="auto"/>
        </w:rPr>
      </w:pPr>
    </w:p>
    <w:p>
      <w:pPr>
        <w:pStyle w:val="18"/>
        <w:keepNext w:val="0"/>
        <w:keepLines w:val="0"/>
        <w:pageBreakBefore w:val="0"/>
        <w:kinsoku/>
        <w:wordWrap/>
        <w:overflowPunct/>
        <w:topLinePunct w:val="0"/>
        <w:bidi w:val="0"/>
        <w:adjustRightInd/>
        <w:spacing w:line="360" w:lineRule="exact"/>
        <w:ind w:firstLine="420"/>
        <w:jc w:val="center"/>
        <w:textAlignment w:val="auto"/>
        <w:outlineLvl w:val="0"/>
        <w:rPr>
          <w:rFonts w:hint="eastAsia" w:ascii="Times New Roman"/>
          <w:i w:val="0"/>
          <w:iCs w:val="0"/>
          <w:color w:val="auto"/>
        </w:rPr>
      </w:pPr>
      <w:bookmarkStart w:id="3" w:name="_Toc116737173"/>
      <w:r>
        <w:rPr>
          <w:rFonts w:hint="eastAsia" w:ascii="黑体" w:eastAsia="黑体"/>
          <w:b/>
          <w:bCs/>
          <w:i w:val="0"/>
          <w:iCs w:val="0"/>
          <w:color w:val="auto"/>
          <w:sz w:val="32"/>
        </w:rPr>
        <w:t>前  言</w:t>
      </w:r>
      <w:bookmarkEnd w:id="3"/>
    </w:p>
    <w:p>
      <w:pPr>
        <w:pStyle w:val="18"/>
        <w:keepNext w:val="0"/>
        <w:keepLines w:val="0"/>
        <w:pageBreakBefore w:val="0"/>
        <w:kinsoku/>
        <w:wordWrap/>
        <w:overflowPunct/>
        <w:topLinePunct w:val="0"/>
        <w:bidi w:val="0"/>
        <w:adjustRightInd/>
        <w:spacing w:line="360" w:lineRule="exact"/>
        <w:ind w:firstLine="420"/>
        <w:textAlignment w:val="auto"/>
        <w:rPr>
          <w:rFonts w:ascii="Times New Roman"/>
          <w:i w:val="0"/>
          <w:iCs w:val="0"/>
          <w:color w:val="auto"/>
        </w:rPr>
      </w:pPr>
      <w:r>
        <w:rPr>
          <w:rFonts w:hint="eastAsia" w:ascii="Times New Roman"/>
          <w:i w:val="0"/>
          <w:iCs w:val="0"/>
          <w:color w:val="auto"/>
        </w:rPr>
        <w:t>本文件</w:t>
      </w:r>
      <w:r>
        <w:rPr>
          <w:rFonts w:hint="eastAsia" w:ascii="Times New Roman"/>
          <w:i w:val="0"/>
          <w:iCs w:val="0"/>
          <w:color w:val="auto"/>
          <w:lang w:val="en-US" w:eastAsia="zh-CN"/>
        </w:rPr>
        <w:t>按</w:t>
      </w:r>
      <w:r>
        <w:rPr>
          <w:rFonts w:hint="eastAsia" w:ascii="Times New Roman"/>
          <w:i w:val="0"/>
          <w:iCs w:val="0"/>
          <w:color w:val="auto"/>
        </w:rPr>
        <w:t>照GB/T1.1—20</w:t>
      </w:r>
      <w:r>
        <w:rPr>
          <w:rFonts w:ascii="Times New Roman"/>
          <w:i w:val="0"/>
          <w:iCs w:val="0"/>
          <w:color w:val="auto"/>
        </w:rPr>
        <w:t>20</w:t>
      </w:r>
      <w:r>
        <w:rPr>
          <w:rFonts w:hint="eastAsia" w:ascii="Times New Roman"/>
          <w:i w:val="0"/>
          <w:iCs w:val="0"/>
          <w:color w:val="auto"/>
        </w:rPr>
        <w:t xml:space="preserve">《标准化工作导则 </w:t>
      </w:r>
      <w:r>
        <w:rPr>
          <w:rFonts w:hint="eastAsia" w:ascii="Times New Roman"/>
          <w:i w:val="0"/>
          <w:iCs w:val="0"/>
          <w:color w:val="auto"/>
          <w:lang w:val="en-US" w:eastAsia="zh-CN"/>
        </w:rPr>
        <w:t xml:space="preserve"> </w:t>
      </w:r>
      <w:r>
        <w:rPr>
          <w:rFonts w:hint="eastAsia" w:ascii="Times New Roman"/>
          <w:i w:val="0"/>
          <w:iCs w:val="0"/>
          <w:color w:val="auto"/>
        </w:rPr>
        <w:t>第1部分：标准化文件的结构和起草规则》的规定起草。</w:t>
      </w:r>
    </w:p>
    <w:p>
      <w:pPr>
        <w:pStyle w:val="18"/>
        <w:keepNext w:val="0"/>
        <w:keepLines w:val="0"/>
        <w:pageBreakBefore w:val="0"/>
        <w:kinsoku/>
        <w:wordWrap/>
        <w:overflowPunct/>
        <w:topLinePunct w:val="0"/>
        <w:bidi w:val="0"/>
        <w:adjustRightInd/>
        <w:spacing w:line="360" w:lineRule="exact"/>
        <w:ind w:firstLine="420"/>
        <w:textAlignment w:val="auto"/>
        <w:rPr>
          <w:rFonts w:ascii="Times New Roman"/>
          <w:i w:val="0"/>
          <w:iCs w:val="0"/>
          <w:color w:val="auto"/>
        </w:rPr>
      </w:pPr>
      <w:r>
        <w:rPr>
          <w:rFonts w:hint="eastAsia" w:ascii="Times New Roman"/>
          <w:i w:val="0"/>
          <w:iCs w:val="0"/>
          <w:color w:val="auto"/>
        </w:rPr>
        <w:t>本文件由</w:t>
      </w:r>
      <w:r>
        <w:rPr>
          <w:rFonts w:hint="eastAsia" w:ascii="Times New Roman"/>
          <w:i w:val="0"/>
          <w:iCs w:val="0"/>
          <w:color w:val="auto"/>
          <w:lang w:val="en-US" w:eastAsia="zh-CN"/>
        </w:rPr>
        <w:t>首都医科大学附属北京潞河医院</w:t>
      </w:r>
      <w:r>
        <w:rPr>
          <w:rFonts w:hint="eastAsia" w:ascii="Times New Roman"/>
          <w:i w:val="0"/>
          <w:iCs w:val="0"/>
          <w:color w:val="auto"/>
        </w:rPr>
        <w:t>提出。</w:t>
      </w:r>
    </w:p>
    <w:p>
      <w:pPr>
        <w:pStyle w:val="18"/>
        <w:keepNext w:val="0"/>
        <w:keepLines w:val="0"/>
        <w:pageBreakBefore w:val="0"/>
        <w:kinsoku/>
        <w:wordWrap/>
        <w:overflowPunct/>
        <w:topLinePunct w:val="0"/>
        <w:bidi w:val="0"/>
        <w:adjustRightInd/>
        <w:spacing w:line="360" w:lineRule="exact"/>
        <w:ind w:firstLine="420"/>
        <w:textAlignment w:val="auto"/>
        <w:rPr>
          <w:rFonts w:ascii="Times New Roman"/>
          <w:i w:val="0"/>
          <w:iCs w:val="0"/>
          <w:color w:val="auto"/>
        </w:rPr>
      </w:pPr>
      <w:r>
        <w:rPr>
          <w:rFonts w:hint="eastAsia" w:ascii="Times New Roman"/>
          <w:i w:val="0"/>
          <w:iCs w:val="0"/>
          <w:color w:val="auto"/>
        </w:rPr>
        <w:t>本文件由</w:t>
      </w:r>
      <w:r>
        <w:rPr>
          <w:rFonts w:hint="eastAsia" w:ascii="Times New Roman"/>
          <w:i w:val="0"/>
          <w:iCs w:val="0"/>
          <w:color w:val="auto"/>
          <w:lang w:val="en-US" w:eastAsia="zh-CN"/>
        </w:rPr>
        <w:t>北京慢性病防治与健康教育研究会</w:t>
      </w:r>
      <w:r>
        <w:rPr>
          <w:rFonts w:hint="eastAsia" w:ascii="Times New Roman"/>
          <w:i w:val="0"/>
          <w:iCs w:val="0"/>
          <w:color w:val="auto"/>
        </w:rPr>
        <w:t>归口。</w:t>
      </w:r>
    </w:p>
    <w:p>
      <w:pPr>
        <w:pStyle w:val="18"/>
        <w:keepNext w:val="0"/>
        <w:keepLines w:val="0"/>
        <w:pageBreakBefore w:val="0"/>
        <w:kinsoku/>
        <w:wordWrap/>
        <w:overflowPunct/>
        <w:topLinePunct w:val="0"/>
        <w:bidi w:val="0"/>
        <w:adjustRightInd/>
        <w:spacing w:line="360" w:lineRule="exact"/>
        <w:ind w:firstLine="420"/>
        <w:textAlignment w:val="auto"/>
        <w:rPr>
          <w:rFonts w:ascii="Times New Roman"/>
          <w:i w:val="0"/>
          <w:iCs w:val="0"/>
          <w:color w:val="auto"/>
        </w:rPr>
      </w:pPr>
      <w:r>
        <w:rPr>
          <w:rFonts w:hint="eastAsia" w:ascii="Times New Roman"/>
          <w:i w:val="0"/>
          <w:iCs w:val="0"/>
          <w:color w:val="auto"/>
        </w:rPr>
        <w:t>本文件起草单位：</w:t>
      </w:r>
      <w:r>
        <w:rPr>
          <w:rFonts w:hint="eastAsia" w:ascii="宋体" w:hAnsi="宋体" w:eastAsia="宋体" w:cs="宋体"/>
          <w:i w:val="0"/>
          <w:iCs w:val="0"/>
          <w:color w:val="auto"/>
          <w:sz w:val="21"/>
          <w:szCs w:val="21"/>
          <w:lang w:val="en-US" w:eastAsia="zh-CN"/>
        </w:rPr>
        <w:t>首都医科大学附属北京潞河医院</w:t>
      </w:r>
      <w:r>
        <w:rPr>
          <w:rFonts w:hint="eastAsia" w:hAnsi="宋体" w:cs="宋体"/>
          <w:i w:val="0"/>
          <w:iCs w:val="0"/>
          <w:color w:val="auto"/>
          <w:sz w:val="21"/>
          <w:szCs w:val="21"/>
          <w:lang w:val="en-US" w:eastAsia="zh-CN"/>
        </w:rPr>
        <w:t>。</w:t>
      </w:r>
    </w:p>
    <w:p>
      <w:pPr>
        <w:pStyle w:val="18"/>
        <w:keepNext w:val="0"/>
        <w:keepLines w:val="0"/>
        <w:pageBreakBefore w:val="0"/>
        <w:kinsoku/>
        <w:wordWrap/>
        <w:overflowPunct/>
        <w:topLinePunct w:val="0"/>
        <w:bidi w:val="0"/>
        <w:adjustRightInd/>
        <w:spacing w:line="360" w:lineRule="exact"/>
        <w:ind w:firstLine="420"/>
        <w:textAlignment w:val="auto"/>
        <w:rPr>
          <w:rFonts w:hint="eastAsia" w:ascii="Times New Roman"/>
          <w:i w:val="0"/>
          <w:iCs w:val="0"/>
          <w:color w:val="auto"/>
          <w:lang w:val="en-US" w:eastAsia="zh-CN"/>
        </w:rPr>
      </w:pPr>
      <w:r>
        <w:rPr>
          <w:rFonts w:hint="eastAsia" w:ascii="Times New Roman"/>
          <w:i w:val="0"/>
          <w:iCs w:val="0"/>
          <w:color w:val="auto"/>
        </w:rPr>
        <w:t>本文件主要起草人：</w:t>
      </w:r>
      <w:r>
        <w:rPr>
          <w:rFonts w:hint="eastAsia" w:ascii="Times New Roman"/>
          <w:i w:val="0"/>
          <w:iCs w:val="0"/>
          <w:color w:val="auto"/>
          <w:lang w:val="en-US" w:eastAsia="zh-CN"/>
        </w:rPr>
        <w:t>翟光耀。</w:t>
      </w:r>
    </w:p>
    <w:p>
      <w:pPr>
        <w:pStyle w:val="18"/>
        <w:keepNext w:val="0"/>
        <w:keepLines w:val="0"/>
        <w:pageBreakBefore w:val="0"/>
        <w:kinsoku/>
        <w:wordWrap/>
        <w:overflowPunct/>
        <w:topLinePunct w:val="0"/>
        <w:bidi w:val="0"/>
        <w:adjustRightInd/>
        <w:spacing w:line="360" w:lineRule="exact"/>
        <w:ind w:firstLine="420"/>
        <w:textAlignment w:val="auto"/>
        <w:rPr>
          <w:rFonts w:hint="default" w:ascii="Times New Roman"/>
          <w:i w:val="0"/>
          <w:iCs w:val="0"/>
          <w:color w:val="auto"/>
          <w:lang w:val="en-US" w:eastAsia="zh-CN"/>
        </w:rPr>
      </w:pPr>
      <w:r>
        <w:rPr>
          <w:rFonts w:hint="eastAsia" w:ascii="Times New Roman"/>
          <w:i w:val="0"/>
          <w:iCs w:val="0"/>
          <w:color w:val="auto"/>
          <w:lang w:val="en-US" w:eastAsia="zh-CN"/>
        </w:rPr>
        <w:t>本文件其他起草人：陈韵岱、周玉杰、唐熠达、贺玉泉、于波、宋雷、窦克非、吴永健、刘宇扬、温尚煜、钱杰、王贵松、王伟民、李宪伦、李建平、张闻多、汪宇鹏、彭红玉、赵慧强、杨鹏、王建龙、刘巍、徐昕晔、李惟铭、郑博、王志坚、汪奇、高磊、吴娜琼、薛亚军、孙铁男、柳子静、齐疏影、高鹏、解菁、黄韬。</w:t>
      </w:r>
    </w:p>
    <w:p>
      <w:pPr>
        <w:pStyle w:val="18"/>
        <w:keepNext w:val="0"/>
        <w:keepLines w:val="0"/>
        <w:pageBreakBefore w:val="0"/>
        <w:kinsoku/>
        <w:wordWrap/>
        <w:overflowPunct/>
        <w:topLinePunct w:val="0"/>
        <w:bidi w:val="0"/>
        <w:adjustRightInd/>
        <w:spacing w:line="360" w:lineRule="exact"/>
        <w:ind w:firstLine="420"/>
        <w:textAlignment w:val="auto"/>
        <w:rPr>
          <w:i w:val="0"/>
          <w:iCs w:val="0"/>
          <w:color w:val="auto"/>
        </w:rPr>
      </w:pPr>
      <w:r>
        <w:rPr>
          <w:i w:val="0"/>
          <w:iCs w:val="0"/>
          <w:color w:val="auto"/>
        </w:rPr>
        <w:br w:type="page"/>
      </w:r>
    </w:p>
    <w:p>
      <w:pPr>
        <w:pStyle w:val="25"/>
        <w:keepNext w:val="0"/>
        <w:keepLines w:val="0"/>
        <w:pageBreakBefore w:val="0"/>
        <w:shd w:val="clear" w:color="FFFFFF"/>
        <w:kinsoku/>
        <w:wordWrap/>
        <w:overflowPunct/>
        <w:topLinePunct w:val="0"/>
        <w:bidi w:val="0"/>
        <w:adjustRightInd/>
        <w:spacing w:line="360" w:lineRule="exact"/>
        <w:textAlignment w:val="auto"/>
        <w:rPr>
          <w:rFonts w:hAnsi="宋体"/>
          <w:i w:val="0"/>
          <w:iCs w:val="0"/>
          <w:color w:val="auto"/>
          <w:szCs w:val="21"/>
        </w:rPr>
      </w:pPr>
      <w:bookmarkStart w:id="4" w:name="_Toc436205034"/>
      <w:bookmarkStart w:id="5" w:name="_Toc1349096900"/>
      <w:bookmarkStart w:id="6" w:name="_Toc509933847"/>
      <w:bookmarkStart w:id="7" w:name="_Toc510534526"/>
      <w:r>
        <w:rPr>
          <w:rFonts w:hint="eastAsia"/>
          <w:b/>
          <w:bCs/>
          <w:i w:val="0"/>
          <w:iCs w:val="0"/>
          <w:color w:val="auto"/>
        </w:rPr>
        <w:t>引</w:t>
      </w:r>
      <w:bookmarkStart w:id="8" w:name="BKYY"/>
      <w:r>
        <w:rPr>
          <w:b/>
          <w:bCs/>
          <w:i w:val="0"/>
          <w:iCs w:val="0"/>
          <w:color w:val="auto"/>
        </w:rPr>
        <w:t> </w:t>
      </w:r>
      <w:r>
        <w:rPr>
          <w:rFonts w:hint="eastAsia"/>
          <w:b/>
          <w:bCs/>
          <w:i w:val="0"/>
          <w:iCs w:val="0"/>
          <w:color w:val="auto"/>
        </w:rPr>
        <w:t>言</w:t>
      </w:r>
      <w:bookmarkEnd w:id="4"/>
      <w:bookmarkEnd w:id="5"/>
      <w:bookmarkEnd w:id="6"/>
      <w:bookmarkEnd w:id="7"/>
      <w:bookmarkEnd w:id="8"/>
    </w:p>
    <w:p>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i w:val="0"/>
          <w:iCs w:val="0"/>
          <w:color w:val="auto"/>
          <w:sz w:val="21"/>
          <w:szCs w:val="21"/>
          <w:lang w:val="en-US" w:eastAsia="zh-CN"/>
        </w:rPr>
      </w:pPr>
      <w:r>
        <w:rPr>
          <w:rFonts w:hint="eastAsia" w:ascii="宋体" w:hAnsi="宋体" w:eastAsia="宋体" w:cs="宋体"/>
          <w:i w:val="0"/>
          <w:iCs w:val="0"/>
          <w:color w:val="auto"/>
          <w:sz w:val="21"/>
          <w:szCs w:val="21"/>
        </w:rPr>
        <w:t>经皮冠状动脉介入治疗（PCI）是治疗冠心病的重要手段，但传统</w:t>
      </w:r>
      <w:r>
        <w:rPr>
          <w:rFonts w:hint="eastAsia" w:ascii="宋体" w:hAnsi="宋体" w:eastAsia="宋体" w:cs="宋体"/>
          <w:i w:val="0"/>
          <w:iCs w:val="0"/>
          <w:color w:val="auto"/>
          <w:sz w:val="21"/>
          <w:szCs w:val="21"/>
          <w:lang w:val="en-US" w:eastAsia="zh-CN"/>
        </w:rPr>
        <w:t>人工</w:t>
      </w:r>
      <w:r>
        <w:rPr>
          <w:rFonts w:hint="eastAsia" w:ascii="宋体" w:hAnsi="宋体" w:eastAsia="宋体" w:cs="宋体"/>
          <w:i w:val="0"/>
          <w:iCs w:val="0"/>
          <w:color w:val="auto"/>
          <w:sz w:val="21"/>
          <w:szCs w:val="21"/>
        </w:rPr>
        <w:t>PCI使术者长期暴露于电离辐射并承受沉重铅衣负荷，增加白内障、恶性肿瘤和肌骨损伤等职业危害</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lang w:val="en-US" w:eastAsia="zh-CN"/>
        </w:rPr>
        <w:t>冠状动脉介入机器人的出现，为减少术者职业风险、提高操作精度提供了新的技术途径。</w:t>
      </w:r>
    </w:p>
    <w:p>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i w:val="0"/>
          <w:iCs w:val="0"/>
          <w:color w:val="auto"/>
          <w:sz w:val="21"/>
          <w:szCs w:val="21"/>
          <w:lang w:val="en-US" w:eastAsia="zh-CN"/>
        </w:rPr>
      </w:pPr>
      <w:r>
        <w:rPr>
          <w:rFonts w:hint="eastAsia" w:ascii="宋体" w:hAnsi="宋体" w:eastAsia="宋体" w:cs="宋体"/>
          <w:i w:val="0"/>
          <w:iCs w:val="0"/>
          <w:color w:val="auto"/>
          <w:sz w:val="21"/>
          <w:szCs w:val="21"/>
          <w:lang w:val="en-US" w:eastAsia="zh-CN"/>
        </w:rPr>
        <w:t>冠状动脉介入机器人在PCI中的应用具有良好的安全性和有效性，能够在保障手术成功率的同时降低术者辐射暴露并提高手术操作的稳定性与精确性。现有临床研究表明，冠状动脉介入机器人辅助PCI在手术成功率方面与传统人工操作具有等效性，术者辐射暴露量可降低95%以上，操作稳定性与导丝推送精度显著提升。目前，该技术已在美国、欧洲及中国多家心脏中心开展临床应用，国内已有数十家具备介入资质的医疗机构陆续引进并开展机器人辅助PCI，积累了一定的临床实践经验。与此同时，目前冠脉介入手术机器人临床应用缺乏统一的标准化、规范化指导，实践模式存在差异，限制了技术推广与临床应用的规范化发展。</w:t>
      </w:r>
    </w:p>
    <w:p>
      <w:pPr>
        <w:keepNext w:val="0"/>
        <w:keepLines w:val="0"/>
        <w:pageBreakBefore w:val="0"/>
        <w:widowControl/>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i w:val="0"/>
          <w:iCs w:val="0"/>
          <w:color w:val="auto"/>
          <w:sz w:val="21"/>
          <w:szCs w:val="21"/>
          <w:lang w:val="en-US" w:eastAsia="zh-CN"/>
        </w:rPr>
      </w:pPr>
      <w:r>
        <w:rPr>
          <w:rFonts w:hint="eastAsia" w:ascii="宋体" w:hAnsi="宋体" w:eastAsia="宋体" w:cs="宋体"/>
          <w:i w:val="0"/>
          <w:iCs w:val="0"/>
          <w:color w:val="auto"/>
          <w:sz w:val="21"/>
          <w:szCs w:val="21"/>
          <w:lang w:val="en-US" w:eastAsia="zh-CN"/>
        </w:rPr>
        <w:t>为规范冠状动脉介入机器人的临床应用、保障医疗质量与患者安全，制定本文件。本文件为医疗机构开展机器人辅助PCI提供统一、可操作的技术规范。</w:t>
      </w:r>
    </w:p>
    <w:p>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宋体" w:hAnsi="宋体" w:eastAsia="宋体" w:cs="宋体"/>
          <w:i w:val="0"/>
          <w:iCs w:val="0"/>
          <w:color w:val="auto"/>
          <w:sz w:val="21"/>
          <w:szCs w:val="21"/>
          <w:lang w:val="en-US" w:eastAsia="zh-CN"/>
        </w:rPr>
        <w:sectPr>
          <w:headerReference r:id="rId9" w:type="default"/>
          <w:footerReference r:id="rId10" w:type="default"/>
          <w:pgSz w:w="11906" w:h="16838"/>
          <w:pgMar w:top="1440" w:right="1797" w:bottom="1440" w:left="1797" w:header="1418" w:footer="1134" w:gutter="0"/>
          <w:pgBorders>
            <w:top w:val="none" w:sz="0" w:space="0"/>
            <w:left w:val="none" w:sz="0" w:space="0"/>
            <w:bottom w:val="none" w:sz="0" w:space="0"/>
            <w:right w:val="none" w:sz="0" w:space="0"/>
          </w:pgBorders>
          <w:pgNumType w:fmt="upperRoman" w:start="1"/>
          <w:cols w:space="720" w:num="1"/>
          <w:formProt w:val="0"/>
          <w:docGrid w:linePitch="312" w:charSpace="0"/>
        </w:sectPr>
      </w:pPr>
    </w:p>
    <w:p>
      <w:pPr>
        <w:pStyle w:val="17"/>
        <w:keepNext w:val="0"/>
        <w:keepLines w:val="0"/>
        <w:pageBreakBefore w:val="0"/>
        <w:numPr>
          <w:ilvl w:val="1"/>
          <w:numId w:val="0"/>
        </w:numPr>
        <w:kinsoku/>
        <w:wordWrap/>
        <w:overflowPunct/>
        <w:topLinePunct w:val="0"/>
        <w:bidi w:val="0"/>
        <w:adjustRightInd/>
        <w:spacing w:before="240" w:beforeLines="100" w:after="240" w:afterLines="100" w:line="360" w:lineRule="exact"/>
        <w:ind w:leftChars="0"/>
        <w:jc w:val="center"/>
        <w:textAlignment w:val="auto"/>
        <w:outlineLvl w:val="0"/>
        <w:rPr>
          <w:rFonts w:hint="eastAsia" w:ascii="Times New Roman"/>
          <w:i w:val="0"/>
          <w:iCs w:val="0"/>
          <w:color w:val="auto"/>
          <w:sz w:val="32"/>
          <w:szCs w:val="32"/>
          <w:lang w:val="en-US" w:eastAsia="zh-CN"/>
        </w:rPr>
      </w:pPr>
      <w:bookmarkStart w:id="9" w:name="_Toc509933849"/>
      <w:bookmarkStart w:id="10" w:name="_Toc459720143"/>
      <w:bookmarkStart w:id="11" w:name="_Toc459724774"/>
      <w:bookmarkStart w:id="12" w:name="_Toc459704603"/>
      <w:bookmarkStart w:id="13" w:name="_Toc1139253274"/>
      <w:bookmarkStart w:id="14" w:name="_Toc510534528"/>
      <w:r>
        <w:rPr>
          <w:rFonts w:hint="eastAsia" w:ascii="黑体" w:hAnsi="黑体" w:eastAsia="黑体"/>
          <w:sz w:val="32"/>
          <w:szCs w:val="32"/>
          <w:highlight w:val="none"/>
        </w:rPr>
        <w:t>冠</w:t>
      </w:r>
      <w:r>
        <w:rPr>
          <w:rFonts w:hint="eastAsia" w:hAnsi="黑体"/>
          <w:sz w:val="32"/>
          <w:szCs w:val="32"/>
          <w:highlight w:val="none"/>
          <w:lang w:val="en-US" w:eastAsia="zh-CN"/>
        </w:rPr>
        <w:t>状动</w:t>
      </w:r>
      <w:r>
        <w:rPr>
          <w:rFonts w:hint="eastAsia" w:ascii="黑体" w:hAnsi="黑体" w:eastAsia="黑体"/>
          <w:sz w:val="32"/>
          <w:szCs w:val="32"/>
          <w:highlight w:val="none"/>
        </w:rPr>
        <w:t>脉介入机器人临床应用技术规范</w:t>
      </w:r>
    </w:p>
    <w:p>
      <w:pPr>
        <w:pStyle w:val="17"/>
        <w:keepNext w:val="0"/>
        <w:keepLines w:val="0"/>
        <w:pageBreakBefore w:val="0"/>
        <w:numPr>
          <w:ilvl w:val="0"/>
          <w:numId w:val="2"/>
        </w:numPr>
        <w:kinsoku/>
        <w:wordWrap/>
        <w:overflowPunct/>
        <w:topLinePunct w:val="0"/>
        <w:bidi w:val="0"/>
        <w:adjustRightInd/>
        <w:spacing w:before="312" w:beforeLines="100" w:after="312" w:afterLines="100" w:line="240" w:lineRule="auto"/>
        <w:ind w:leftChars="0"/>
        <w:textAlignment w:val="auto"/>
        <w:outlineLvl w:val="9"/>
        <w:rPr>
          <w:rFonts w:hint="eastAsia" w:ascii="黑体" w:hAnsi="Times New Roman" w:cs="Times New Roman"/>
          <w:i w:val="0"/>
          <w:iCs w:val="0"/>
          <w:color w:val="auto"/>
          <w:kern w:val="0"/>
          <w:szCs w:val="20"/>
        </w:rPr>
      </w:pPr>
      <w:r>
        <w:rPr>
          <w:rFonts w:hint="eastAsia" w:ascii="黑体" w:hAnsi="Times New Roman" w:cs="Times New Roman"/>
          <w:i w:val="0"/>
          <w:iCs w:val="0"/>
          <w:color w:val="auto"/>
          <w:kern w:val="0"/>
          <w:szCs w:val="20"/>
        </w:rPr>
        <w:t>范围</w:t>
      </w:r>
      <w:bookmarkEnd w:id="9"/>
      <w:bookmarkEnd w:id="10"/>
      <w:bookmarkEnd w:id="11"/>
      <w:bookmarkEnd w:id="12"/>
      <w:bookmarkEnd w:id="13"/>
      <w:bookmarkEnd w:id="14"/>
    </w:p>
    <w:p>
      <w:pPr>
        <w:pStyle w:val="18"/>
        <w:keepNext w:val="0"/>
        <w:keepLines w:val="0"/>
        <w:pageBreakBefore w:val="0"/>
        <w:kinsoku/>
        <w:wordWrap/>
        <w:overflowPunct/>
        <w:topLinePunct w:val="0"/>
        <w:bidi w:val="0"/>
        <w:adjustRightInd/>
        <w:spacing w:line="360" w:lineRule="exact"/>
        <w:ind w:firstLine="420"/>
        <w:textAlignment w:val="auto"/>
        <w:rPr>
          <w:rFonts w:hint="eastAsia"/>
          <w:i w:val="0"/>
          <w:iCs w:val="0"/>
          <w:color w:val="auto"/>
        </w:rPr>
      </w:pPr>
      <w:bookmarkStart w:id="15" w:name="_Toc459720144"/>
      <w:bookmarkStart w:id="16" w:name="_Toc459704604"/>
      <w:bookmarkStart w:id="17" w:name="_Toc459724775"/>
      <w:r>
        <w:rPr>
          <w:rFonts w:hint="eastAsia"/>
          <w:i w:val="0"/>
          <w:iCs w:val="0"/>
          <w:color w:val="auto"/>
        </w:rPr>
        <w:t>本文件规定了冠</w:t>
      </w:r>
      <w:r>
        <w:rPr>
          <w:rFonts w:hint="eastAsia"/>
          <w:i w:val="0"/>
          <w:iCs w:val="0"/>
          <w:color w:val="auto"/>
          <w:lang w:val="en-US" w:eastAsia="zh-CN"/>
        </w:rPr>
        <w:t>状动</w:t>
      </w:r>
      <w:r>
        <w:rPr>
          <w:rFonts w:hint="eastAsia"/>
          <w:i w:val="0"/>
          <w:iCs w:val="0"/>
          <w:color w:val="auto"/>
        </w:rPr>
        <w:t>脉介入机器人在临床应用中的要求</w:t>
      </w:r>
      <w:r>
        <w:rPr>
          <w:rFonts w:hint="eastAsia"/>
          <w:i w:val="0"/>
          <w:iCs w:val="0"/>
          <w:color w:val="auto"/>
          <w:lang w:eastAsia="zh-CN"/>
        </w:rPr>
        <w:t>、</w:t>
      </w:r>
      <w:r>
        <w:rPr>
          <w:rFonts w:hint="eastAsia"/>
          <w:i w:val="0"/>
          <w:iCs w:val="0"/>
          <w:color w:val="auto"/>
          <w:lang w:val="en-US" w:eastAsia="zh-CN"/>
        </w:rPr>
        <w:t>术前准备、手术实施与安全管理、术后管理、质量管理与持续改进</w:t>
      </w:r>
      <w:r>
        <w:rPr>
          <w:rFonts w:hint="eastAsia"/>
          <w:i w:val="0"/>
          <w:iCs w:val="0"/>
          <w:color w:val="auto"/>
        </w:rPr>
        <w:t>。</w:t>
      </w:r>
    </w:p>
    <w:p>
      <w:pPr>
        <w:pStyle w:val="18"/>
        <w:keepNext w:val="0"/>
        <w:keepLines w:val="0"/>
        <w:pageBreakBefore w:val="0"/>
        <w:kinsoku/>
        <w:wordWrap/>
        <w:overflowPunct/>
        <w:topLinePunct w:val="0"/>
        <w:bidi w:val="0"/>
        <w:adjustRightInd/>
        <w:spacing w:line="360" w:lineRule="exact"/>
        <w:ind w:firstLine="420"/>
        <w:textAlignment w:val="auto"/>
        <w:rPr>
          <w:rFonts w:hint="eastAsia"/>
          <w:i w:val="0"/>
          <w:iCs w:val="0"/>
          <w:color w:val="auto"/>
        </w:rPr>
      </w:pPr>
      <w:r>
        <w:rPr>
          <w:rFonts w:hint="eastAsia"/>
          <w:i w:val="0"/>
          <w:iCs w:val="0"/>
          <w:color w:val="auto"/>
        </w:rPr>
        <w:t>本文件适用于采用主控台</w:t>
      </w:r>
      <w:r>
        <w:rPr>
          <w:rFonts w:hint="eastAsia"/>
          <w:i w:val="0"/>
          <w:iCs w:val="0"/>
          <w:color w:val="auto"/>
          <w:lang w:val="en-US" w:eastAsia="zh-CN"/>
        </w:rPr>
        <w:t>-</w:t>
      </w:r>
      <w:r>
        <w:rPr>
          <w:rFonts w:hint="eastAsia"/>
          <w:i w:val="0"/>
          <w:iCs w:val="0"/>
          <w:color w:val="auto"/>
        </w:rPr>
        <w:t>从动臂式结构、具备导丝及导管远程操控功能的经皮冠状动脉介入机器人系统</w:t>
      </w:r>
      <w:r>
        <w:rPr>
          <w:rFonts w:hint="eastAsia"/>
          <w:i w:val="0"/>
          <w:iCs w:val="0"/>
          <w:color w:val="auto"/>
          <w:lang w:eastAsia="zh-CN"/>
        </w:rPr>
        <w:t>，</w:t>
      </w:r>
      <w:r>
        <w:rPr>
          <w:rFonts w:hint="eastAsia"/>
          <w:i w:val="0"/>
          <w:iCs w:val="0"/>
          <w:color w:val="auto"/>
        </w:rPr>
        <w:t>具有冠状动脉介入资质的医疗机构及相关专业人员的临床应用。</w:t>
      </w:r>
    </w:p>
    <w:p>
      <w:pPr>
        <w:pStyle w:val="18"/>
        <w:keepNext w:val="0"/>
        <w:keepLines w:val="0"/>
        <w:pageBreakBefore w:val="0"/>
        <w:kinsoku/>
        <w:wordWrap/>
        <w:overflowPunct/>
        <w:topLinePunct w:val="0"/>
        <w:bidi w:val="0"/>
        <w:adjustRightInd/>
        <w:spacing w:line="360" w:lineRule="exact"/>
        <w:ind w:firstLine="420"/>
        <w:textAlignment w:val="auto"/>
        <w:rPr>
          <w:rFonts w:hint="eastAsia"/>
          <w:i w:val="0"/>
          <w:iCs w:val="0"/>
          <w:color w:val="auto"/>
        </w:rPr>
      </w:pPr>
      <w:r>
        <w:rPr>
          <w:rFonts w:hint="eastAsia"/>
          <w:i w:val="0"/>
          <w:iCs w:val="0"/>
          <w:color w:val="auto"/>
        </w:rPr>
        <w:t>本文件不适用于外周血管、脑血管及结构性心脏病介入机器人系统。</w:t>
      </w:r>
    </w:p>
    <w:p>
      <w:pPr>
        <w:pStyle w:val="17"/>
        <w:keepNext w:val="0"/>
        <w:keepLines w:val="0"/>
        <w:pageBreakBefore w:val="0"/>
        <w:numPr>
          <w:ilvl w:val="0"/>
          <w:numId w:val="2"/>
        </w:numPr>
        <w:kinsoku/>
        <w:wordWrap/>
        <w:overflowPunct/>
        <w:topLinePunct w:val="0"/>
        <w:bidi w:val="0"/>
        <w:adjustRightInd/>
        <w:spacing w:before="312" w:beforeLines="100" w:after="312" w:afterLines="100" w:line="240" w:lineRule="auto"/>
        <w:ind w:leftChars="0"/>
        <w:textAlignment w:val="auto"/>
        <w:outlineLvl w:val="9"/>
        <w:rPr>
          <w:rFonts w:hint="eastAsia" w:ascii="黑体" w:hAnsi="Times New Roman" w:cs="Times New Roman"/>
          <w:i w:val="0"/>
          <w:iCs w:val="0"/>
          <w:color w:val="auto"/>
          <w:kern w:val="0"/>
          <w:szCs w:val="20"/>
        </w:rPr>
      </w:pPr>
      <w:bookmarkStart w:id="18" w:name="_Toc465579466"/>
      <w:bookmarkStart w:id="19" w:name="_Toc509933850"/>
      <w:bookmarkStart w:id="20" w:name="_Toc510534529"/>
      <w:r>
        <w:rPr>
          <w:rFonts w:hint="eastAsia" w:ascii="黑体" w:hAnsi="Times New Roman" w:cs="Times New Roman"/>
          <w:i w:val="0"/>
          <w:iCs w:val="0"/>
          <w:color w:val="auto"/>
          <w:kern w:val="0"/>
          <w:szCs w:val="20"/>
        </w:rPr>
        <w:t>规范性引用文件</w:t>
      </w:r>
      <w:bookmarkEnd w:id="15"/>
      <w:bookmarkEnd w:id="16"/>
      <w:bookmarkEnd w:id="17"/>
      <w:bookmarkEnd w:id="18"/>
      <w:bookmarkEnd w:id="19"/>
      <w:bookmarkEnd w:id="20"/>
    </w:p>
    <w:sdt>
      <w:sdtPr>
        <w:tag w:val="StandNameFile"/>
        <w:id w:val="147451575"/>
        <w:placeholder>
          <w:docPart w:val="{33db6b71-5c45-4fa2-b825-afb6f3caa3e7}"/>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textAlignment w:val="auto"/>
          </w:pPr>
          <w:bookmarkStart w:id="21" w:name="_Toc459704605"/>
          <w:bookmarkEnd w:id="21"/>
          <w:bookmarkStart w:id="22" w:name="_Toc459720145"/>
          <w:bookmarkStart w:id="23" w:name="_Toc459724776"/>
          <w: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18"/>
        <w:keepNext w:val="0"/>
        <w:keepLines w:val="0"/>
        <w:pageBreakBefore w:val="0"/>
        <w:kinsoku/>
        <w:wordWrap/>
        <w:overflowPunct/>
        <w:topLinePunct w:val="0"/>
        <w:bidi w:val="0"/>
        <w:adjustRightInd/>
        <w:spacing w:line="360" w:lineRule="exact"/>
        <w:ind w:firstLine="420"/>
        <w:textAlignment w:val="auto"/>
        <w:rPr>
          <w:rFonts w:hint="default" w:ascii="Times New Roman" w:eastAsia="宋体"/>
          <w:i w:val="0"/>
          <w:iCs w:val="0"/>
          <w:color w:val="auto"/>
          <w:lang w:val="en-US" w:eastAsia="zh-CN"/>
        </w:rPr>
      </w:pPr>
      <w:bookmarkStart w:id="24" w:name="_Toc509933851"/>
      <w:bookmarkStart w:id="25" w:name="_Toc436205037"/>
      <w:bookmarkStart w:id="26" w:name="_Toc510534530"/>
      <w:r>
        <w:rPr>
          <w:rFonts w:hint="eastAsia"/>
          <w:i w:val="0"/>
          <w:iCs w:val="0"/>
          <w:color w:val="auto"/>
        </w:rPr>
        <w:t>GB 9706.1</w:t>
      </w:r>
      <w:r>
        <w:rPr>
          <w:rFonts w:hint="eastAsia"/>
          <w:lang w:val="en-US" w:eastAsia="zh-CN"/>
        </w:rPr>
        <w:t xml:space="preserve">   </w:t>
      </w:r>
      <w:r>
        <w:rPr>
          <w:rFonts w:hint="eastAsia" w:ascii="Times New Roman"/>
          <w:i w:val="0"/>
          <w:iCs w:val="0"/>
          <w:color w:val="auto"/>
          <w:lang w:val="en-US" w:eastAsia="zh-CN"/>
        </w:rPr>
        <w:t>医用电气设备 第1部分：基本安全和基本性能的通用要求</w:t>
      </w:r>
    </w:p>
    <w:p>
      <w:pPr>
        <w:pStyle w:val="18"/>
        <w:keepNext w:val="0"/>
        <w:keepLines w:val="0"/>
        <w:pageBreakBefore w:val="0"/>
        <w:kinsoku/>
        <w:wordWrap/>
        <w:overflowPunct/>
        <w:topLinePunct w:val="0"/>
        <w:bidi w:val="0"/>
        <w:adjustRightInd/>
        <w:spacing w:line="360" w:lineRule="exact"/>
        <w:textAlignment w:val="auto"/>
        <w:rPr>
          <w:rFonts w:hint="default" w:ascii="Times New Roman" w:eastAsia="宋体"/>
          <w:i w:val="0"/>
          <w:iCs w:val="0"/>
          <w:color w:val="auto"/>
          <w:lang w:val="en-US" w:eastAsia="zh-CN"/>
        </w:rPr>
      </w:pPr>
      <w:r>
        <w:rPr>
          <w:rFonts w:hint="eastAsia"/>
          <w:i w:val="0"/>
          <w:iCs w:val="0"/>
          <w:color w:val="auto"/>
        </w:rPr>
        <w:t>GB 15982</w:t>
      </w:r>
      <w:r>
        <w:rPr>
          <w:rFonts w:hint="eastAsia"/>
          <w:i w:val="0"/>
          <w:iCs w:val="0"/>
          <w:color w:val="auto"/>
          <w:lang w:val="en-US" w:eastAsia="zh-CN"/>
        </w:rPr>
        <w:t xml:space="preserve">   </w:t>
      </w:r>
      <w:r>
        <w:rPr>
          <w:rFonts w:hint="eastAsia" w:ascii="Times New Roman"/>
          <w:i w:val="0"/>
          <w:iCs w:val="0"/>
          <w:color w:val="auto"/>
          <w:lang w:val="en-US" w:eastAsia="zh-CN"/>
        </w:rPr>
        <w:t>医院消毒卫生标准</w:t>
      </w:r>
    </w:p>
    <w:p>
      <w:pPr>
        <w:pStyle w:val="18"/>
        <w:keepNext w:val="0"/>
        <w:keepLines w:val="0"/>
        <w:pageBreakBefore w:val="0"/>
        <w:kinsoku/>
        <w:wordWrap/>
        <w:overflowPunct/>
        <w:topLinePunct w:val="0"/>
        <w:bidi w:val="0"/>
        <w:adjustRightInd/>
        <w:spacing w:line="360" w:lineRule="exact"/>
        <w:textAlignment w:val="auto"/>
        <w:rPr>
          <w:rFonts w:ascii="Times New Roman"/>
          <w:i w:val="0"/>
          <w:iCs w:val="0"/>
          <w:color w:val="auto"/>
        </w:rPr>
      </w:pPr>
    </w:p>
    <w:p>
      <w:pPr>
        <w:pStyle w:val="17"/>
        <w:keepNext w:val="0"/>
        <w:keepLines w:val="0"/>
        <w:pageBreakBefore w:val="0"/>
        <w:numPr>
          <w:ilvl w:val="0"/>
          <w:numId w:val="2"/>
        </w:numPr>
        <w:kinsoku/>
        <w:wordWrap/>
        <w:overflowPunct/>
        <w:topLinePunct w:val="0"/>
        <w:bidi w:val="0"/>
        <w:adjustRightInd/>
        <w:spacing w:before="312" w:beforeLines="100" w:after="312" w:afterLines="100" w:line="240" w:lineRule="auto"/>
        <w:ind w:leftChars="0"/>
        <w:textAlignment w:val="auto"/>
        <w:outlineLvl w:val="9"/>
        <w:rPr>
          <w:rFonts w:hint="eastAsia" w:ascii="黑体" w:hAnsi="Times New Roman" w:cs="Times New Roman"/>
          <w:i w:val="0"/>
          <w:iCs w:val="0"/>
          <w:color w:val="auto"/>
          <w:kern w:val="0"/>
          <w:szCs w:val="20"/>
        </w:rPr>
      </w:pPr>
      <w:bookmarkStart w:id="27" w:name="_Toc1711159041"/>
      <w:r>
        <w:rPr>
          <w:rFonts w:hint="eastAsia" w:ascii="黑体" w:hAnsi="Times New Roman" w:cs="Times New Roman"/>
          <w:i w:val="0"/>
          <w:iCs w:val="0"/>
          <w:color w:val="auto"/>
          <w:kern w:val="0"/>
          <w:szCs w:val="20"/>
        </w:rPr>
        <w:t>术语和定义</w:t>
      </w:r>
      <w:bookmarkEnd w:id="24"/>
      <w:bookmarkEnd w:id="25"/>
      <w:bookmarkEnd w:id="26"/>
      <w:bookmarkEnd w:id="27"/>
    </w:p>
    <w:p>
      <w:pPr>
        <w:pStyle w:val="18"/>
        <w:keepNext w:val="0"/>
        <w:keepLines w:val="0"/>
        <w:pageBreakBefore w:val="0"/>
        <w:kinsoku/>
        <w:wordWrap/>
        <w:overflowPunct/>
        <w:topLinePunct w:val="0"/>
        <w:bidi w:val="0"/>
        <w:adjustRightInd/>
        <w:spacing w:line="360" w:lineRule="exact"/>
        <w:ind w:firstLine="420"/>
        <w:textAlignment w:val="auto"/>
        <w:rPr>
          <w:rFonts w:hint="eastAsia"/>
          <w:i w:val="0"/>
          <w:iCs w:val="0"/>
          <w:color w:val="auto"/>
        </w:rPr>
      </w:pPr>
      <w:bookmarkStart w:id="28" w:name="_Hlk92788667"/>
      <w:r>
        <w:rPr>
          <w:rFonts w:hint="eastAsia"/>
          <w:i w:val="0"/>
          <w:iCs w:val="0"/>
          <w:color w:val="auto"/>
        </w:rPr>
        <w:t>下列术语和定义适用于本文件。</w:t>
      </w:r>
    </w:p>
    <w:bookmarkEnd w:id="28"/>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firstLine="0" w:firstLineChars="0"/>
        <w:textAlignment w:val="auto"/>
        <w:outlineLvl w:val="1"/>
        <w:rPr>
          <w:rFonts w:hint="eastAsia" w:ascii="黑体" w:hAnsi="Times New Roman" w:eastAsia="黑体" w:cs="Times New Roman"/>
          <w:i w:val="0"/>
          <w:iCs w:val="0"/>
          <w:color w:val="auto"/>
          <w:kern w:val="0"/>
          <w:szCs w:val="20"/>
        </w:rPr>
      </w:pPr>
    </w:p>
    <w:p>
      <w:pPr>
        <w:pStyle w:val="18"/>
        <w:keepNext w:val="0"/>
        <w:keepLines w:val="0"/>
        <w:pageBreakBefore w:val="0"/>
        <w:kinsoku/>
        <w:wordWrap/>
        <w:overflowPunct/>
        <w:topLinePunct w:val="0"/>
        <w:bidi w:val="0"/>
        <w:adjustRightInd/>
        <w:spacing w:line="360" w:lineRule="exact"/>
        <w:ind w:firstLine="420"/>
        <w:textAlignment w:val="auto"/>
        <w:rPr>
          <w:rFonts w:hint="eastAsia" w:ascii="黑体" w:hAnsi="黑体" w:eastAsia="黑体" w:cs="黑体"/>
          <w:b w:val="0"/>
          <w:bCs w:val="0"/>
          <w:i w:val="0"/>
          <w:iCs w:val="0"/>
          <w:color w:val="auto"/>
          <w:lang w:val="en-US" w:eastAsia="zh-CN"/>
        </w:rPr>
      </w:pPr>
      <w:r>
        <w:rPr>
          <w:rFonts w:hint="eastAsia" w:ascii="黑体" w:hAnsi="黑体" w:eastAsia="黑体" w:cs="黑体"/>
          <w:b w:val="0"/>
          <w:bCs w:val="0"/>
          <w:i w:val="0"/>
          <w:iCs w:val="0"/>
          <w:color w:val="auto"/>
        </w:rPr>
        <w:t>冠状动脉介入机器人</w:t>
      </w:r>
      <w:r>
        <w:rPr>
          <w:rFonts w:hint="eastAsia" w:ascii="黑体" w:hAnsi="黑体" w:eastAsia="黑体" w:cs="黑体"/>
          <w:b w:val="0"/>
          <w:bCs w:val="0"/>
          <w:i w:val="0"/>
          <w:iCs w:val="0"/>
          <w:color w:val="auto"/>
          <w:lang w:val="en-US" w:eastAsia="zh-CN"/>
        </w:rPr>
        <w:t xml:space="preserve">  </w:t>
      </w:r>
      <w:r>
        <w:rPr>
          <w:rFonts w:hint="eastAsia" w:ascii="黑体" w:hAnsi="黑体" w:eastAsia="黑体" w:cs="黑体"/>
          <w:b w:val="0"/>
          <w:bCs w:val="0"/>
        </w:rPr>
        <w:t>robot-assisted percutaneous coronary intervention</w:t>
      </w:r>
    </w:p>
    <w:p>
      <w:pPr>
        <w:pStyle w:val="18"/>
        <w:keepNext w:val="0"/>
        <w:keepLines w:val="0"/>
        <w:pageBreakBefore w:val="0"/>
        <w:kinsoku/>
        <w:wordWrap/>
        <w:overflowPunct/>
        <w:topLinePunct w:val="0"/>
        <w:bidi w:val="0"/>
        <w:adjustRightInd/>
        <w:spacing w:line="360" w:lineRule="exact"/>
        <w:ind w:left="0" w:leftChars="0" w:firstLine="420" w:firstLineChars="200"/>
        <w:textAlignment w:val="auto"/>
        <w:rPr>
          <w:rFonts w:hint="eastAsia"/>
          <w:i w:val="0"/>
          <w:iCs w:val="0"/>
          <w:color w:val="auto"/>
        </w:rPr>
      </w:pPr>
      <w:r>
        <w:rPr>
          <w:rFonts w:hint="eastAsia"/>
          <w:i w:val="0"/>
          <w:iCs w:val="0"/>
          <w:color w:val="auto"/>
        </w:rPr>
        <w:t>用于实现经皮冠状动脉介入器械远程操控的机电系统。</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p>
    <w:p>
      <w:pPr>
        <w:pStyle w:val="18"/>
        <w:keepNext w:val="0"/>
        <w:keepLines w:val="0"/>
        <w:pageBreakBefore w:val="0"/>
        <w:kinsoku/>
        <w:wordWrap/>
        <w:overflowPunct/>
        <w:topLinePunct w:val="0"/>
        <w:bidi w:val="0"/>
        <w:adjustRightInd/>
        <w:spacing w:line="360" w:lineRule="exact"/>
        <w:ind w:firstLine="420"/>
        <w:textAlignment w:val="auto"/>
        <w:rPr>
          <w:rFonts w:hint="default" w:ascii="黑体" w:hAnsi="黑体" w:eastAsia="黑体" w:cs="黑体"/>
          <w:i w:val="0"/>
          <w:iCs w:val="0"/>
          <w:color w:val="auto"/>
          <w:lang w:val="en-US" w:eastAsia="zh-CN"/>
        </w:rPr>
      </w:pPr>
      <w:r>
        <w:rPr>
          <w:rFonts w:hint="eastAsia" w:ascii="黑体" w:hAnsi="黑体" w:eastAsia="黑体" w:cs="黑体"/>
          <w:i w:val="0"/>
          <w:iCs w:val="0"/>
          <w:color w:val="auto"/>
          <w:lang w:val="en-US" w:eastAsia="zh-CN"/>
        </w:rPr>
        <w:t>控制单元  control unit</w:t>
      </w:r>
    </w:p>
    <w:p>
      <w:pPr>
        <w:pStyle w:val="18"/>
        <w:keepNext w:val="0"/>
        <w:keepLines w:val="0"/>
        <w:pageBreakBefore w:val="0"/>
        <w:kinsoku/>
        <w:wordWrap/>
        <w:overflowPunct/>
        <w:topLinePunct w:val="0"/>
        <w:bidi w:val="0"/>
        <w:adjustRightInd/>
        <w:spacing w:line="360" w:lineRule="exact"/>
        <w:ind w:left="0" w:leftChars="0" w:firstLine="420" w:firstLineChars="200"/>
        <w:textAlignment w:val="auto"/>
        <w:rPr>
          <w:rFonts w:hint="eastAsia"/>
          <w:i w:val="0"/>
          <w:iCs w:val="0"/>
          <w:color w:val="auto"/>
        </w:rPr>
      </w:pPr>
      <w:r>
        <w:rPr>
          <w:rFonts w:hint="eastAsia"/>
          <w:i w:val="0"/>
          <w:iCs w:val="0"/>
          <w:color w:val="auto"/>
          <w:lang w:eastAsia="zh-CN"/>
        </w:rPr>
        <w:t>冠状动脉介入机器人</w:t>
      </w:r>
      <w:r>
        <w:rPr>
          <w:rFonts w:hint="eastAsia"/>
          <w:i w:val="0"/>
          <w:iCs w:val="0"/>
          <w:color w:val="auto"/>
        </w:rPr>
        <w:t>中用于发出操控指令并控制执行单元运动的组成部分。</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lang w:val="en-US" w:eastAsia="zh-CN"/>
        </w:rPr>
      </w:pPr>
    </w:p>
    <w:p>
      <w:pPr>
        <w:pStyle w:val="18"/>
        <w:keepNext w:val="0"/>
        <w:keepLines w:val="0"/>
        <w:pageBreakBefore w:val="0"/>
        <w:kinsoku/>
        <w:wordWrap/>
        <w:overflowPunct/>
        <w:topLinePunct w:val="0"/>
        <w:bidi w:val="0"/>
        <w:adjustRightInd/>
        <w:spacing w:line="360" w:lineRule="exact"/>
        <w:ind w:left="0" w:leftChars="0" w:firstLine="420" w:firstLineChars="0"/>
        <w:textAlignment w:val="auto"/>
        <w:rPr>
          <w:rFonts w:hint="default" w:ascii="黑体" w:hAnsi="黑体" w:eastAsia="黑体" w:cs="黑体"/>
          <w:i w:val="0"/>
          <w:iCs w:val="0"/>
          <w:color w:val="auto"/>
          <w:lang w:val="en-US" w:eastAsia="zh-CN"/>
        </w:rPr>
      </w:pPr>
      <w:r>
        <w:rPr>
          <w:rFonts w:hint="eastAsia" w:ascii="黑体" w:hAnsi="黑体" w:eastAsia="黑体" w:cs="黑体"/>
          <w:i w:val="0"/>
          <w:iCs w:val="0"/>
          <w:color w:val="auto"/>
          <w:lang w:val="en-US" w:eastAsia="zh-CN"/>
        </w:rPr>
        <w:t>执行单元  actuation unit</w:t>
      </w:r>
    </w:p>
    <w:p>
      <w:pPr>
        <w:pStyle w:val="18"/>
        <w:keepNext w:val="0"/>
        <w:keepLines w:val="0"/>
        <w:pageBreakBefore w:val="0"/>
        <w:kinsoku/>
        <w:wordWrap/>
        <w:overflowPunct/>
        <w:topLinePunct w:val="0"/>
        <w:bidi w:val="0"/>
        <w:adjustRightInd/>
        <w:spacing w:line="360" w:lineRule="exact"/>
        <w:ind w:left="0" w:leftChars="0" w:firstLine="420" w:firstLineChars="200"/>
        <w:textAlignment w:val="auto"/>
        <w:rPr>
          <w:rFonts w:hint="eastAsia" w:asciiTheme="majorEastAsia" w:hAnsiTheme="majorEastAsia" w:eastAsiaTheme="majorEastAsia" w:cstheme="majorEastAsia"/>
          <w:i w:val="0"/>
          <w:iCs w:val="0"/>
          <w:color w:val="auto"/>
          <w:lang w:val="en-US" w:eastAsia="zh-CN"/>
        </w:rPr>
      </w:pPr>
      <w:r>
        <w:rPr>
          <w:rFonts w:hint="eastAsia" w:asciiTheme="majorEastAsia" w:hAnsiTheme="majorEastAsia" w:eastAsiaTheme="majorEastAsia" w:cstheme="majorEastAsia"/>
          <w:i w:val="0"/>
          <w:iCs w:val="0"/>
          <w:color w:val="auto"/>
          <w:lang w:val="en-US" w:eastAsia="zh-CN"/>
        </w:rPr>
        <w:t>冠状动脉介入机器人中直接驱动介入器械运动的组成部分。</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lang w:val="en-US" w:eastAsia="zh-CN"/>
        </w:rPr>
      </w:pPr>
    </w:p>
    <w:p>
      <w:pPr>
        <w:pStyle w:val="18"/>
        <w:keepNext w:val="0"/>
        <w:keepLines w:val="0"/>
        <w:pageBreakBefore w:val="0"/>
        <w:kinsoku/>
        <w:wordWrap/>
        <w:overflowPunct/>
        <w:topLinePunct w:val="0"/>
        <w:autoSpaceDE/>
        <w:autoSpaceDN/>
        <w:bidi w:val="0"/>
        <w:adjustRightInd/>
        <w:spacing w:line="360" w:lineRule="exact"/>
        <w:ind w:firstLine="420"/>
        <w:textAlignment w:val="auto"/>
        <w:rPr>
          <w:rFonts w:hint="default" w:ascii="黑体" w:hAnsi="黑体" w:eastAsia="黑体" w:cs="黑体"/>
          <w:b w:val="0"/>
          <w:bCs w:val="0"/>
          <w:i w:val="0"/>
          <w:iCs w:val="0"/>
          <w:color w:val="auto"/>
          <w:lang w:val="en-US" w:eastAsia="zh-CN"/>
        </w:rPr>
      </w:pPr>
      <w:r>
        <w:rPr>
          <w:rFonts w:hint="eastAsia" w:ascii="黑体" w:hAnsi="黑体" w:eastAsia="黑体" w:cs="黑体"/>
          <w:b w:val="0"/>
          <w:bCs w:val="0"/>
          <w:i w:val="0"/>
          <w:iCs w:val="0"/>
          <w:color w:val="auto"/>
          <w:lang w:val="en-US" w:eastAsia="zh-CN"/>
        </w:rPr>
        <w:t>心脏团队  heart team</w:t>
      </w:r>
    </w:p>
    <w:p>
      <w:pPr>
        <w:pStyle w:val="18"/>
        <w:keepNext w:val="0"/>
        <w:keepLines w:val="0"/>
        <w:pageBreakBefore w:val="0"/>
        <w:widowControl/>
        <w:kinsoku/>
        <w:wordWrap/>
        <w:overflowPunct/>
        <w:topLinePunct w:val="0"/>
        <w:autoSpaceDE w:val="0"/>
        <w:autoSpaceDN w:val="0"/>
        <w:bidi w:val="0"/>
        <w:adjustRightInd/>
        <w:snapToGrid/>
        <w:spacing w:line="360" w:lineRule="exact"/>
        <w:ind w:left="0" w:leftChars="0" w:firstLine="420" w:firstLineChars="200"/>
        <w:textAlignment w:val="auto"/>
        <w:rPr>
          <w:rFonts w:hint="eastAsia" w:asciiTheme="majorEastAsia" w:hAnsiTheme="majorEastAsia" w:eastAsiaTheme="majorEastAsia" w:cstheme="majorEastAsia"/>
          <w:i w:val="0"/>
          <w:iCs w:val="0"/>
          <w:color w:val="auto"/>
          <w:lang w:val="en-US" w:eastAsia="zh-CN"/>
        </w:rPr>
      </w:pPr>
      <w:r>
        <w:rPr>
          <w:rFonts w:hint="eastAsia" w:asciiTheme="majorEastAsia" w:hAnsiTheme="majorEastAsia" w:eastAsiaTheme="majorEastAsia" w:cstheme="majorEastAsia"/>
          <w:i w:val="0"/>
          <w:iCs w:val="0"/>
          <w:color w:val="auto"/>
          <w:lang w:val="en-US" w:eastAsia="zh-CN"/>
        </w:rPr>
        <w:t>负责对患者的诊断、治疗方式选择及围术期管理进行综合评估与决策，由心血管内科、心脏外科、麻醉科及影像学等相关专业人员组成的多学科协作团队。</w:t>
      </w:r>
    </w:p>
    <w:p>
      <w:pPr>
        <w:pStyle w:val="17"/>
        <w:keepNext w:val="0"/>
        <w:keepLines w:val="0"/>
        <w:pageBreakBefore w:val="0"/>
        <w:widowControl/>
        <w:numPr>
          <w:ilvl w:val="0"/>
          <w:numId w:val="2"/>
        </w:numPr>
        <w:kinsoku/>
        <w:wordWrap/>
        <w:overflowPunct/>
        <w:topLinePunct w:val="0"/>
        <w:autoSpaceDE w:val="0"/>
        <w:autoSpaceDN w:val="0"/>
        <w:bidi w:val="0"/>
        <w:adjustRightInd/>
        <w:snapToGrid/>
        <w:spacing w:before="312" w:beforeLines="100" w:after="312" w:afterLines="100" w:line="240" w:lineRule="auto"/>
        <w:ind w:firstLine="0" w:firstLineChars="0"/>
        <w:textAlignment w:val="auto"/>
        <w:outlineLvl w:val="9"/>
        <w:rPr>
          <w:rFonts w:hint="eastAsia" w:ascii="黑体" w:hAnsi="Times New Roman" w:eastAsia="黑体" w:cs="Times New Roman"/>
          <w:i w:val="0"/>
          <w:iCs w:val="0"/>
          <w:color w:val="auto"/>
          <w:kern w:val="0"/>
          <w:sz w:val="21"/>
          <w:szCs w:val="20"/>
          <w:lang w:val="en-US" w:eastAsia="zh-CN" w:bidi="ar-SA"/>
        </w:rPr>
      </w:pPr>
      <w:bookmarkStart w:id="29" w:name="_Toc1900800439"/>
      <w:r>
        <w:rPr>
          <w:rFonts w:hint="eastAsia" w:ascii="黑体" w:hAnsi="Times New Roman" w:eastAsia="黑体" w:cs="Times New Roman"/>
          <w:i w:val="0"/>
          <w:iCs w:val="0"/>
          <w:color w:val="auto"/>
          <w:kern w:val="0"/>
          <w:sz w:val="21"/>
          <w:szCs w:val="20"/>
          <w:lang w:val="en-US" w:eastAsia="zh-CN" w:bidi="ar-SA"/>
        </w:rPr>
        <w:t>临床应用要求</w:t>
      </w:r>
      <w:bookmarkEnd w:id="29"/>
    </w:p>
    <w:p>
      <w:pPr>
        <w:pStyle w:val="20"/>
        <w:keepNext w:val="0"/>
        <w:keepLines w:val="0"/>
        <w:pageBreakBefore w:val="0"/>
        <w:widowControl/>
        <w:numPr>
          <w:ilvl w:val="1"/>
          <w:numId w:val="2"/>
        </w:numPr>
        <w:kinsoku/>
        <w:wordWrap/>
        <w:overflowPunct/>
        <w:topLinePunct w:val="0"/>
        <w:autoSpaceDE w:val="0"/>
        <w:autoSpaceDN w:val="0"/>
        <w:bidi w:val="0"/>
        <w:adjustRightInd/>
        <w:snapToGrid/>
        <w:spacing w:before="156" w:beforeLines="50" w:after="156" w:afterLines="50" w:line="360" w:lineRule="exact"/>
        <w:ind w:firstLine="0" w:firstLineChars="0"/>
        <w:textAlignment w:val="auto"/>
        <w:outlineLvl w:val="1"/>
        <w:rPr>
          <w:rFonts w:hint="eastAsia" w:ascii="黑体" w:hAnsi="Times New Roman" w:cs="Times New Roman"/>
          <w:i w:val="0"/>
          <w:iCs w:val="0"/>
          <w:color w:val="auto"/>
          <w:kern w:val="0"/>
          <w:szCs w:val="20"/>
        </w:rPr>
      </w:pPr>
      <w:bookmarkStart w:id="30" w:name="_Toc786245501"/>
      <w:r>
        <w:rPr>
          <w:rFonts w:hint="eastAsia" w:ascii="黑体" w:hAnsi="Times New Roman" w:eastAsia="黑体" w:cs="Times New Roman"/>
          <w:i w:val="0"/>
          <w:iCs w:val="0"/>
          <w:color w:val="auto"/>
          <w:kern w:val="0"/>
          <w:sz w:val="21"/>
          <w:szCs w:val="20"/>
          <w:lang w:val="en-US" w:eastAsia="zh-CN" w:bidi="ar-SA"/>
        </w:rPr>
        <w:t>适应证</w:t>
      </w:r>
      <w:bookmarkEnd w:id="30"/>
    </w:p>
    <w:p>
      <w:pPr>
        <w:pStyle w:val="23"/>
        <w:keepNext w:val="0"/>
        <w:keepLines w:val="0"/>
        <w:pageBreakBefore w:val="0"/>
        <w:widowControl/>
        <w:numPr>
          <w:ilvl w:val="2"/>
          <w:numId w:val="2"/>
        </w:numPr>
        <w:kinsoku/>
        <w:wordWrap/>
        <w:overflowPunct/>
        <w:topLinePunct w:val="0"/>
        <w:autoSpaceDE w:val="0"/>
        <w:autoSpaceDN w:val="0"/>
        <w:bidi w:val="0"/>
        <w:adjustRightInd/>
        <w:snapToGrid/>
        <w:spacing w:before="156" w:beforeLines="50" w:after="156" w:afterLines="50" w:line="360" w:lineRule="exact"/>
        <w:ind w:left="4" w:hanging="4" w:firstLineChars="0"/>
        <w:textAlignment w:val="auto"/>
        <w:rPr>
          <w:rFonts w:hint="eastAsia" w:ascii="宋体" w:hAnsi="宋体" w:eastAsia="宋体" w:cs="宋体"/>
          <w:i w:val="0"/>
          <w:iCs w:val="0"/>
          <w:color w:val="auto"/>
          <w:lang w:val="en-US" w:eastAsia="zh-CN"/>
        </w:rPr>
      </w:pPr>
      <w:r>
        <w:rPr>
          <w:rFonts w:hint="eastAsia" w:ascii="宋体" w:hAnsi="宋体" w:eastAsia="宋体" w:cs="宋体"/>
          <w:i w:val="0"/>
          <w:iCs w:val="0"/>
          <w:color w:val="auto"/>
          <w:lang w:val="en-US" w:eastAsia="zh-CN"/>
        </w:rPr>
        <w:t>冠状动脉介入机器人适用于符合PCI一般条件、病变形态在系统性能范围内的病例。</w:t>
      </w:r>
    </w:p>
    <w:p>
      <w:pPr>
        <w:pStyle w:val="23"/>
        <w:keepNext w:val="0"/>
        <w:keepLines w:val="0"/>
        <w:pageBreakBefore w:val="0"/>
        <w:widowControl/>
        <w:numPr>
          <w:ilvl w:val="2"/>
          <w:numId w:val="2"/>
        </w:numPr>
        <w:kinsoku/>
        <w:wordWrap/>
        <w:overflowPunct/>
        <w:topLinePunct w:val="0"/>
        <w:autoSpaceDE w:val="0"/>
        <w:autoSpaceDN w:val="0"/>
        <w:bidi w:val="0"/>
        <w:adjustRightInd/>
        <w:snapToGrid/>
        <w:spacing w:before="156" w:beforeLines="50" w:after="156" w:afterLines="50" w:line="360" w:lineRule="exact"/>
        <w:ind w:left="4" w:hanging="4" w:firstLineChars="0"/>
        <w:textAlignment w:val="auto"/>
        <w:rPr>
          <w:rFonts w:hint="eastAsia"/>
          <w:i w:val="0"/>
          <w:iCs w:val="0"/>
          <w:color w:val="auto"/>
          <w:lang w:val="en-US" w:eastAsia="zh-CN"/>
        </w:rPr>
      </w:pPr>
      <w:r>
        <w:rPr>
          <w:rFonts w:hint="eastAsia" w:ascii="宋体" w:hAnsi="宋体" w:eastAsia="宋体" w:cs="宋体"/>
          <w:i w:val="0"/>
          <w:iCs w:val="0"/>
          <w:color w:val="auto"/>
          <w:lang w:val="en-US" w:eastAsia="zh-CN"/>
        </w:rPr>
        <w:t>适应证的具体评估应符合本标准第5章的规定。</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firstLine="0" w:firstLineChars="0"/>
        <w:textAlignment w:val="auto"/>
        <w:outlineLvl w:val="1"/>
        <w:rPr>
          <w:rFonts w:hint="eastAsia" w:ascii="黑体" w:hAnsi="Times New Roman" w:eastAsia="黑体" w:cs="Times New Roman"/>
          <w:i w:val="0"/>
          <w:iCs w:val="0"/>
          <w:color w:val="auto"/>
          <w:kern w:val="0"/>
          <w:sz w:val="21"/>
          <w:szCs w:val="20"/>
          <w:lang w:val="en-US" w:eastAsia="zh-CN" w:bidi="ar-SA"/>
        </w:rPr>
      </w:pPr>
      <w:bookmarkStart w:id="31" w:name="_Toc961255316"/>
      <w:r>
        <w:rPr>
          <w:rFonts w:hint="eastAsia" w:ascii="黑体" w:hAnsi="Times New Roman" w:eastAsia="黑体" w:cs="Times New Roman"/>
          <w:i w:val="0"/>
          <w:iCs w:val="0"/>
          <w:color w:val="auto"/>
          <w:kern w:val="0"/>
          <w:sz w:val="21"/>
          <w:szCs w:val="20"/>
          <w:lang w:val="en-US" w:eastAsia="zh-CN" w:bidi="ar-SA"/>
        </w:rPr>
        <w:t>禁忌证</w:t>
      </w:r>
      <w:bookmarkEnd w:id="31"/>
    </w:p>
    <w:p>
      <w:pPr>
        <w:pStyle w:val="23"/>
        <w:keepNext w:val="0"/>
        <w:keepLines w:val="0"/>
        <w:pageBreakBefore w:val="0"/>
        <w:widowControl/>
        <w:numPr>
          <w:ilvl w:val="2"/>
          <w:numId w:val="2"/>
        </w:numPr>
        <w:kinsoku/>
        <w:wordWrap/>
        <w:overflowPunct/>
        <w:topLinePunct w:val="0"/>
        <w:autoSpaceDE w:val="0"/>
        <w:autoSpaceDN w:val="0"/>
        <w:bidi w:val="0"/>
        <w:adjustRightInd/>
        <w:snapToGrid/>
        <w:spacing w:before="156" w:beforeLines="50" w:after="156" w:afterLines="50" w:line="360" w:lineRule="exact"/>
        <w:ind w:left="4" w:hanging="4" w:firstLineChars="0"/>
        <w:textAlignment w:val="auto"/>
        <w:rPr>
          <w:rFonts w:hint="eastAsia" w:ascii="宋体" w:hAnsi="宋体" w:eastAsia="宋体" w:cs="宋体"/>
          <w:i w:val="0"/>
          <w:iCs w:val="0"/>
          <w:color w:val="auto"/>
          <w:lang w:val="en-US" w:eastAsia="zh-CN"/>
        </w:rPr>
      </w:pPr>
      <w:r>
        <w:rPr>
          <w:rFonts w:hint="eastAsia" w:ascii="宋体" w:hAnsi="宋体" w:eastAsia="宋体" w:cs="宋体"/>
          <w:i w:val="0"/>
          <w:iCs w:val="0"/>
          <w:color w:val="auto"/>
          <w:lang w:val="en-US" w:eastAsia="zh-CN"/>
        </w:rPr>
        <w:t>冠状动脉介入机器人不应用于不具备PCI条件或存在手术禁忌的患者。</w:t>
      </w:r>
    </w:p>
    <w:p>
      <w:pPr>
        <w:pStyle w:val="23"/>
        <w:keepNext w:val="0"/>
        <w:keepLines w:val="0"/>
        <w:pageBreakBefore w:val="0"/>
        <w:widowControl/>
        <w:numPr>
          <w:ilvl w:val="2"/>
          <w:numId w:val="2"/>
        </w:numPr>
        <w:kinsoku/>
        <w:wordWrap/>
        <w:overflowPunct/>
        <w:topLinePunct w:val="0"/>
        <w:autoSpaceDE w:val="0"/>
        <w:autoSpaceDN w:val="0"/>
        <w:bidi w:val="0"/>
        <w:adjustRightInd/>
        <w:snapToGrid/>
        <w:spacing w:before="156" w:beforeLines="50" w:after="156" w:afterLines="50" w:line="360" w:lineRule="exact"/>
        <w:ind w:left="4" w:hanging="4" w:firstLineChars="0"/>
        <w:textAlignment w:val="auto"/>
        <w:rPr>
          <w:rFonts w:hint="eastAsia" w:ascii="宋体" w:hAnsi="宋体" w:eastAsia="宋体" w:cs="宋体"/>
          <w:i w:val="0"/>
          <w:iCs w:val="0"/>
          <w:color w:val="auto"/>
          <w:lang w:val="en-US" w:eastAsia="zh-CN"/>
        </w:rPr>
      </w:pPr>
      <w:r>
        <w:rPr>
          <w:rFonts w:hint="eastAsia" w:ascii="宋体" w:hAnsi="宋体" w:eastAsia="宋体" w:cs="宋体"/>
          <w:i w:val="0"/>
          <w:iCs w:val="0"/>
          <w:color w:val="auto"/>
          <w:lang w:val="en-US" w:eastAsia="zh-CN"/>
        </w:rPr>
        <w:t>当患者病情危重、血流动力学不稳定，或病变特征、设备条件超出系统安全运行范围时，不宜使用机器人系统操作。</w:t>
      </w:r>
    </w:p>
    <w:p>
      <w:pPr>
        <w:pStyle w:val="23"/>
        <w:keepNext w:val="0"/>
        <w:keepLines w:val="0"/>
        <w:pageBreakBefore w:val="0"/>
        <w:widowControl/>
        <w:numPr>
          <w:ilvl w:val="2"/>
          <w:numId w:val="2"/>
        </w:numPr>
        <w:kinsoku/>
        <w:wordWrap/>
        <w:overflowPunct/>
        <w:topLinePunct w:val="0"/>
        <w:autoSpaceDE w:val="0"/>
        <w:autoSpaceDN w:val="0"/>
        <w:bidi w:val="0"/>
        <w:adjustRightInd/>
        <w:snapToGrid/>
        <w:spacing w:before="156" w:beforeLines="50" w:after="156" w:afterLines="50" w:line="360" w:lineRule="exact"/>
        <w:ind w:left="4" w:hanging="4" w:firstLineChars="0"/>
        <w:textAlignment w:val="auto"/>
        <w:rPr>
          <w:rFonts w:hint="eastAsia" w:ascii="宋体" w:hAnsi="宋体" w:eastAsia="宋体" w:cs="宋体"/>
          <w:i w:val="0"/>
          <w:iCs w:val="0"/>
          <w:color w:val="auto"/>
          <w:lang w:val="en-US" w:eastAsia="zh-CN"/>
        </w:rPr>
      </w:pPr>
      <w:r>
        <w:rPr>
          <w:rFonts w:hint="eastAsia" w:ascii="宋体" w:hAnsi="宋体" w:eastAsia="宋体" w:cs="宋体"/>
          <w:i w:val="0"/>
          <w:iCs w:val="0"/>
          <w:color w:val="auto"/>
          <w:lang w:val="en-US" w:eastAsia="zh-CN"/>
        </w:rPr>
        <w:t>术前应由具备资质的介入医师评估患者情况并确认不存在影响操作安全的因素。</w:t>
      </w:r>
    </w:p>
    <w:p>
      <w:pPr>
        <w:pStyle w:val="23"/>
        <w:keepNext w:val="0"/>
        <w:keepLines w:val="0"/>
        <w:pageBreakBefore w:val="0"/>
        <w:widowControl/>
        <w:numPr>
          <w:ilvl w:val="2"/>
          <w:numId w:val="2"/>
        </w:numPr>
        <w:kinsoku/>
        <w:wordWrap/>
        <w:overflowPunct/>
        <w:topLinePunct w:val="0"/>
        <w:autoSpaceDE w:val="0"/>
        <w:autoSpaceDN w:val="0"/>
        <w:bidi w:val="0"/>
        <w:adjustRightInd/>
        <w:snapToGrid/>
        <w:spacing w:before="156" w:beforeLines="50" w:after="156" w:afterLines="50" w:line="360" w:lineRule="exact"/>
        <w:ind w:left="4" w:hanging="4" w:firstLineChars="0"/>
        <w:textAlignment w:val="auto"/>
        <w:rPr>
          <w:rFonts w:hint="eastAsia" w:ascii="宋体" w:hAnsi="宋体" w:eastAsia="宋体" w:cs="宋体"/>
          <w:i w:val="0"/>
          <w:iCs w:val="0"/>
          <w:color w:val="auto"/>
          <w:lang w:val="en-US" w:eastAsia="zh-CN"/>
        </w:rPr>
      </w:pPr>
      <w:r>
        <w:rPr>
          <w:rFonts w:hint="eastAsia" w:ascii="宋体" w:hAnsi="宋体" w:eastAsia="宋体" w:cs="宋体"/>
          <w:i w:val="0"/>
          <w:iCs w:val="0"/>
          <w:color w:val="auto"/>
          <w:lang w:val="en-US" w:eastAsia="zh-CN"/>
        </w:rPr>
        <w:t>患者的适应证及禁忌证评估程序应符合本标准第5章的相关规定。</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firstLine="0" w:firstLineChars="0"/>
        <w:textAlignment w:val="auto"/>
        <w:outlineLvl w:val="1"/>
        <w:rPr>
          <w:rFonts w:hint="eastAsia" w:ascii="黑体" w:hAnsi="Times New Roman" w:eastAsia="黑体" w:cs="Times New Roman"/>
          <w:i w:val="0"/>
          <w:iCs w:val="0"/>
          <w:color w:val="auto"/>
          <w:kern w:val="0"/>
          <w:sz w:val="21"/>
          <w:szCs w:val="20"/>
        </w:rPr>
      </w:pPr>
      <w:bookmarkStart w:id="32" w:name="_Toc298619631"/>
      <w:r>
        <w:rPr>
          <w:rFonts w:hint="eastAsia" w:ascii="黑体" w:hAnsi="Times New Roman" w:eastAsia="黑体" w:cs="Times New Roman"/>
          <w:i w:val="0"/>
          <w:iCs w:val="0"/>
          <w:color w:val="auto"/>
          <w:kern w:val="0"/>
          <w:sz w:val="21"/>
          <w:szCs w:val="20"/>
        </w:rPr>
        <w:t>人员资质要求</w:t>
      </w:r>
      <w:bookmarkEnd w:id="32"/>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33" w:name="_Toc230855178"/>
      <w:r>
        <w:rPr>
          <w:rFonts w:hint="eastAsia"/>
          <w:i w:val="0"/>
          <w:iCs w:val="0"/>
          <w:color w:val="auto"/>
        </w:rPr>
        <w:t>基本要求</w:t>
      </w:r>
      <w:bookmarkEnd w:id="33"/>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firstLine="0" w:firstLineChars="0"/>
        <w:textAlignment w:val="auto"/>
        <w:rPr>
          <w:rFonts w:hint="eastAsia" w:ascii="黑体" w:hAnsi="黑体" w:eastAsia="黑体" w:cs="黑体"/>
          <w:i w:val="0"/>
          <w:iCs w:val="0"/>
          <w:color w:val="auto"/>
          <w:kern w:val="0"/>
        </w:rPr>
      </w:pPr>
      <w:r>
        <w:rPr>
          <w:rFonts w:hint="eastAsia" w:ascii="宋体" w:hAnsi="宋体" w:cs="宋体"/>
          <w:i w:val="0"/>
          <w:iCs w:val="0"/>
          <w:color w:val="auto"/>
          <w:kern w:val="0"/>
          <w:lang w:eastAsia="zh-CN"/>
        </w:rPr>
        <w:t>冠状动脉介入机器人</w:t>
      </w:r>
      <w:r>
        <w:rPr>
          <w:rFonts w:hint="eastAsia" w:ascii="宋体" w:hAnsi="宋体" w:eastAsia="宋体" w:cs="宋体"/>
          <w:i w:val="0"/>
          <w:iCs w:val="0"/>
          <w:color w:val="auto"/>
          <w:kern w:val="0"/>
        </w:rPr>
        <w:t>系统应由满足以下条件的医师操作：取得国家认可的介入心脏病学执业资格</w:t>
      </w:r>
      <w:r>
        <w:rPr>
          <w:rFonts w:hint="eastAsia" w:ascii="宋体" w:hAnsi="宋体" w:eastAsia="宋体" w:cs="宋体"/>
          <w:i w:val="0"/>
          <w:iCs w:val="0"/>
          <w:color w:val="auto"/>
          <w:kern w:val="0"/>
          <w:lang w:eastAsia="zh-CN"/>
        </w:rPr>
        <w:t>；</w:t>
      </w:r>
      <w:r>
        <w:rPr>
          <w:rFonts w:hint="eastAsia" w:ascii="宋体" w:hAnsi="宋体" w:eastAsia="宋体" w:cs="宋体"/>
          <w:i w:val="0"/>
          <w:iCs w:val="0"/>
          <w:color w:val="auto"/>
          <w:kern w:val="0"/>
        </w:rPr>
        <w:t>独立完成PCI手术不少于200例；完成设备制造企业或授权机构组织的专项培训，培训内容应涵盖系统操作、应急处置及模拟演练，累计培训时长不少于</w:t>
      </w:r>
      <w:r>
        <w:rPr>
          <w:rFonts w:hint="eastAsia" w:ascii="宋体" w:hAnsi="宋体" w:cs="宋体"/>
          <w:i w:val="0"/>
          <w:iCs w:val="0"/>
          <w:color w:val="auto"/>
          <w:kern w:val="0"/>
          <w:lang w:val="en-US" w:eastAsia="zh-CN"/>
        </w:rPr>
        <w:t>16</w:t>
      </w:r>
      <w:r>
        <w:rPr>
          <w:rFonts w:hint="eastAsia" w:ascii="宋体" w:hAnsi="宋体" w:eastAsia="宋体" w:cs="宋体"/>
          <w:i w:val="0"/>
          <w:iCs w:val="0"/>
          <w:color w:val="auto"/>
          <w:kern w:val="0"/>
        </w:rPr>
        <w:t>学时；经考核合格并取得准入资格后方可独立操作。</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firstLine="0"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参与手术的团队成员（包括床旁助手及</w:t>
      </w:r>
      <w:r>
        <w:rPr>
          <w:rFonts w:hint="eastAsia" w:ascii="宋体" w:hAnsi="宋体" w:cs="宋体"/>
          <w:i w:val="0"/>
          <w:iCs w:val="0"/>
          <w:color w:val="auto"/>
          <w:kern w:val="0"/>
          <w:lang w:val="en-US" w:eastAsia="zh-CN"/>
        </w:rPr>
        <w:t>导管室</w:t>
      </w:r>
      <w:r>
        <w:rPr>
          <w:rFonts w:hint="eastAsia" w:ascii="宋体" w:hAnsi="宋体" w:eastAsia="宋体" w:cs="宋体"/>
          <w:i w:val="0"/>
          <w:iCs w:val="0"/>
          <w:color w:val="auto"/>
          <w:kern w:val="0"/>
        </w:rPr>
        <w:t>人员）应熟悉机器人系统性能</w:t>
      </w:r>
      <w:r>
        <w:rPr>
          <w:rFonts w:hint="eastAsia" w:ascii="宋体" w:hAnsi="宋体" w:cs="宋体"/>
          <w:i w:val="0"/>
          <w:iCs w:val="0"/>
          <w:color w:val="auto"/>
          <w:kern w:val="0"/>
          <w:lang w:eastAsia="zh-CN"/>
        </w:rPr>
        <w:t>、</w:t>
      </w:r>
      <w:r>
        <w:rPr>
          <w:rFonts w:hint="eastAsia" w:ascii="宋体" w:hAnsi="宋体" w:cs="宋体"/>
          <w:i w:val="0"/>
          <w:iCs w:val="0"/>
          <w:color w:val="auto"/>
          <w:kern w:val="0"/>
          <w:lang w:val="en-US" w:eastAsia="zh-CN"/>
        </w:rPr>
        <w:t>操作规范</w:t>
      </w:r>
      <w:r>
        <w:rPr>
          <w:rFonts w:hint="eastAsia" w:ascii="宋体" w:hAnsi="宋体" w:eastAsia="宋体" w:cs="宋体"/>
          <w:i w:val="0"/>
          <w:iCs w:val="0"/>
          <w:color w:val="auto"/>
          <w:kern w:val="0"/>
        </w:rPr>
        <w:t>及应急处置流程。</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34" w:name="_Toc1627510164"/>
      <w:r>
        <w:rPr>
          <w:rFonts w:hint="eastAsia"/>
          <w:i w:val="0"/>
          <w:iCs w:val="0"/>
          <w:color w:val="auto"/>
        </w:rPr>
        <w:t>团队构成与协作</w:t>
      </w:r>
      <w:bookmarkEnd w:id="34"/>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firstLine="0" w:firstLineChars="0"/>
        <w:textAlignment w:val="auto"/>
        <w:rPr>
          <w:rFonts w:hint="eastAsia" w:ascii="宋体" w:hAnsi="宋体" w:cs="宋体"/>
          <w:i w:val="0"/>
          <w:iCs w:val="0"/>
          <w:color w:val="auto"/>
          <w:kern w:val="0"/>
        </w:rPr>
      </w:pPr>
      <w:r>
        <w:rPr>
          <w:rFonts w:hint="eastAsia" w:ascii="宋体" w:hAnsi="宋体" w:cs="宋体"/>
          <w:i w:val="0"/>
          <w:iCs w:val="0"/>
          <w:color w:val="auto"/>
          <w:kern w:val="0"/>
          <w:lang w:eastAsia="zh-CN"/>
        </w:rPr>
        <w:t>冠状动脉介入机器人</w:t>
      </w:r>
      <w:r>
        <w:rPr>
          <w:rFonts w:hint="eastAsia" w:ascii="宋体" w:hAnsi="宋体" w:cs="宋体"/>
          <w:i w:val="0"/>
          <w:iCs w:val="0"/>
          <w:color w:val="auto"/>
          <w:kern w:val="0"/>
        </w:rPr>
        <w:t>手术团队应包括主刀医师、床旁助手及导管室护理人员。</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firstLine="0" w:firstLineChars="0"/>
        <w:textAlignment w:val="auto"/>
        <w:rPr>
          <w:rFonts w:hint="eastAsia" w:ascii="宋体" w:hAnsi="宋体" w:cs="宋体"/>
          <w:i w:val="0"/>
          <w:iCs w:val="0"/>
          <w:color w:val="auto"/>
          <w:kern w:val="0"/>
        </w:rPr>
      </w:pPr>
      <w:r>
        <w:rPr>
          <w:rFonts w:hint="eastAsia" w:ascii="宋体" w:hAnsi="宋体" w:cs="宋体"/>
          <w:i w:val="0"/>
          <w:iCs w:val="0"/>
          <w:color w:val="auto"/>
          <w:kern w:val="0"/>
        </w:rPr>
        <w:t>医疗机构应建立与心脏外科及麻醉科的协作机制，保障手术期间的围术期支持与应急响应能力。</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35" w:name="_Toc1064114509"/>
      <w:r>
        <w:rPr>
          <w:rFonts w:hint="eastAsia"/>
          <w:i w:val="0"/>
          <w:iCs w:val="0"/>
          <w:color w:val="auto"/>
        </w:rPr>
        <w:t>培训与准入考核</w:t>
      </w:r>
      <w:bookmarkEnd w:id="35"/>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firstLine="0" w:firstLineChars="0"/>
        <w:textAlignment w:val="auto"/>
        <w:rPr>
          <w:rFonts w:hint="eastAsia" w:ascii="宋体" w:hAnsi="宋体" w:cs="宋体"/>
          <w:i w:val="0"/>
          <w:iCs w:val="0"/>
          <w:color w:val="auto"/>
          <w:kern w:val="0"/>
        </w:rPr>
      </w:pPr>
      <w:r>
        <w:rPr>
          <w:rFonts w:hint="eastAsia" w:ascii="宋体" w:hAnsi="宋体" w:cs="宋体"/>
          <w:i w:val="0"/>
          <w:iCs w:val="0"/>
          <w:color w:val="auto"/>
          <w:kern w:val="0"/>
        </w:rPr>
        <w:t>医疗机构应建立</w:t>
      </w:r>
      <w:r>
        <w:rPr>
          <w:rFonts w:hint="eastAsia" w:ascii="宋体" w:hAnsi="宋体" w:cs="宋体"/>
          <w:i w:val="0"/>
          <w:iCs w:val="0"/>
          <w:color w:val="auto"/>
          <w:kern w:val="0"/>
          <w:lang w:eastAsia="zh-CN"/>
        </w:rPr>
        <w:t>冠状动脉介入机器人</w:t>
      </w:r>
      <w:r>
        <w:rPr>
          <w:rFonts w:hint="eastAsia" w:ascii="宋体" w:hAnsi="宋体" w:cs="宋体"/>
          <w:i w:val="0"/>
          <w:iCs w:val="0"/>
          <w:color w:val="auto"/>
          <w:kern w:val="0"/>
        </w:rPr>
        <w:t>操作培训与准入考核制度，培训内容应至少涵盖以下模块：系统结构与操作原理、术前安装与校准、导丝/导管远程操控规范、应急中转与故障处置、无菌</w:t>
      </w:r>
      <w:r>
        <w:rPr>
          <w:rFonts w:hint="eastAsia" w:ascii="宋体" w:hAnsi="宋体" w:cs="宋体"/>
          <w:i w:val="0"/>
          <w:iCs w:val="0"/>
          <w:color w:val="auto"/>
          <w:kern w:val="0"/>
          <w:lang w:val="en-US" w:eastAsia="zh-CN"/>
        </w:rPr>
        <w:t>操作</w:t>
      </w:r>
      <w:r>
        <w:rPr>
          <w:rFonts w:hint="eastAsia" w:ascii="宋体" w:hAnsi="宋体" w:cs="宋体"/>
          <w:i w:val="0"/>
          <w:iCs w:val="0"/>
          <w:color w:val="auto"/>
          <w:kern w:val="0"/>
        </w:rPr>
        <w:t>与耗材使用。</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firstLine="0" w:firstLineChars="0"/>
        <w:textAlignment w:val="auto"/>
        <w:rPr>
          <w:rFonts w:hint="eastAsia" w:ascii="宋体" w:hAnsi="宋体" w:cs="宋体"/>
          <w:i w:val="0"/>
          <w:iCs w:val="0"/>
          <w:color w:val="auto"/>
          <w:kern w:val="0"/>
        </w:rPr>
      </w:pPr>
      <w:r>
        <w:rPr>
          <w:rFonts w:hint="eastAsia" w:ascii="宋体" w:hAnsi="宋体" w:cs="宋体"/>
          <w:i w:val="0"/>
          <w:iCs w:val="0"/>
          <w:color w:val="auto"/>
          <w:kern w:val="0"/>
          <w:lang w:val="en-US" w:eastAsia="zh-CN"/>
        </w:rPr>
        <w:t>准入考核应包括理论笔试、模拟操作及带教评估三部分，三项考核均合格后，由医疗机构出具书面准入证明，方可独立开展临床操作。准入资格应每2年复审一次，复审不合格者须重新培训考核</w:t>
      </w:r>
      <w:r>
        <w:rPr>
          <w:rFonts w:hint="eastAsia" w:ascii="宋体" w:hAnsi="宋体" w:cs="宋体"/>
          <w:i w:val="0"/>
          <w:iCs w:val="0"/>
          <w:color w:val="auto"/>
          <w:kern w:val="0"/>
        </w:rPr>
        <w:t>。</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firstLine="0" w:firstLineChars="0"/>
        <w:textAlignment w:val="auto"/>
        <w:outlineLvl w:val="1"/>
        <w:rPr>
          <w:rFonts w:hint="eastAsia" w:ascii="黑体" w:hAnsi="Times New Roman" w:eastAsia="黑体" w:cs="Times New Roman"/>
          <w:i w:val="0"/>
          <w:iCs w:val="0"/>
          <w:color w:val="auto"/>
          <w:kern w:val="0"/>
          <w:szCs w:val="20"/>
          <w:lang w:val="en-US" w:eastAsia="zh-CN"/>
        </w:rPr>
      </w:pPr>
      <w:bookmarkStart w:id="36" w:name="_Toc328740547"/>
      <w:r>
        <w:rPr>
          <w:rFonts w:hint="eastAsia" w:ascii="黑体" w:hAnsi="Times New Roman" w:eastAsia="黑体" w:cs="Times New Roman"/>
          <w:i w:val="0"/>
          <w:iCs w:val="0"/>
          <w:color w:val="auto"/>
          <w:kern w:val="0"/>
          <w:szCs w:val="20"/>
          <w:lang w:val="en-US" w:eastAsia="zh-CN"/>
        </w:rPr>
        <w:t>设备与环境要求</w:t>
      </w:r>
      <w:bookmarkEnd w:id="36"/>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37" w:name="_Toc1814433345"/>
      <w:r>
        <w:rPr>
          <w:rFonts w:hint="eastAsia"/>
          <w:i w:val="0"/>
          <w:iCs w:val="0"/>
          <w:color w:val="auto"/>
        </w:rPr>
        <w:t>手术室条件</w:t>
      </w:r>
      <w:bookmarkEnd w:id="37"/>
    </w:p>
    <w:p>
      <w:pPr>
        <w:pStyle w:val="1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exact"/>
        <w:ind w:firstLine="420" w:firstLineChars="200"/>
        <w:textAlignment w:val="auto"/>
        <w:rPr>
          <w:rFonts w:hint="eastAsia"/>
          <w:i w:val="0"/>
          <w:iCs w:val="0"/>
          <w:color w:val="auto"/>
        </w:rPr>
      </w:pPr>
      <w:r>
        <w:rPr>
          <w:rFonts w:hint="eastAsia"/>
          <w:i w:val="0"/>
          <w:iCs w:val="0"/>
          <w:color w:val="auto"/>
          <w:lang w:eastAsia="zh-CN"/>
        </w:rPr>
        <w:t>冠状动脉介入机器人</w:t>
      </w:r>
      <w:r>
        <w:rPr>
          <w:rFonts w:hint="eastAsia"/>
          <w:i w:val="0"/>
          <w:iCs w:val="0"/>
          <w:color w:val="auto"/>
        </w:rPr>
        <w:t>手术应在符合导管室规范的介入手术室内进行。手术室应具备空气洁净、温湿度控制及X射线防护条件。设备使用环境温度宜为</w:t>
      </w:r>
      <w:r>
        <w:rPr>
          <w:rFonts w:hint="eastAsia"/>
          <w:i w:val="0"/>
          <w:iCs w:val="0"/>
          <w:color w:val="auto"/>
          <w:lang w:val="en-US" w:eastAsia="zh-CN"/>
        </w:rPr>
        <w:t>2</w:t>
      </w:r>
      <w:r>
        <w:rPr>
          <w:rFonts w:hint="eastAsia"/>
          <w:i w:val="0"/>
          <w:iCs w:val="0"/>
          <w:color w:val="auto"/>
        </w:rPr>
        <w:t>0</w:t>
      </w:r>
      <w:r>
        <w:rPr>
          <w:rFonts w:hint="eastAsia"/>
          <w:i w:val="0"/>
          <w:iCs w:val="0"/>
          <w:color w:val="auto"/>
          <w:lang w:val="en-US" w:eastAsia="zh-CN"/>
        </w:rPr>
        <w:t xml:space="preserve"> </w:t>
      </w:r>
      <w:r>
        <w:rPr>
          <w:rFonts w:hint="eastAsia"/>
          <w:i w:val="0"/>
          <w:iCs w:val="0"/>
          <w:color w:val="auto"/>
        </w:rPr>
        <w:t>℃～</w:t>
      </w:r>
      <w:r>
        <w:rPr>
          <w:rFonts w:hint="eastAsia"/>
          <w:i w:val="0"/>
          <w:iCs w:val="0"/>
          <w:color w:val="auto"/>
          <w:lang w:val="en-US" w:eastAsia="zh-CN"/>
        </w:rPr>
        <w:t xml:space="preserve">25 </w:t>
      </w:r>
      <w:r>
        <w:rPr>
          <w:rFonts w:hint="eastAsia"/>
          <w:i w:val="0"/>
          <w:iCs w:val="0"/>
          <w:color w:val="auto"/>
        </w:rPr>
        <w:t>℃，相对湿度</w:t>
      </w:r>
      <w:r>
        <w:rPr>
          <w:rFonts w:hint="eastAsia"/>
          <w:i w:val="0"/>
          <w:iCs w:val="0"/>
          <w:color w:val="auto"/>
          <w:lang w:val="en-US" w:eastAsia="zh-CN"/>
        </w:rPr>
        <w:t>4</w:t>
      </w:r>
      <w:r>
        <w:rPr>
          <w:rFonts w:hint="eastAsia"/>
          <w:i w:val="0"/>
          <w:iCs w:val="0"/>
          <w:color w:val="auto"/>
        </w:rPr>
        <w:t>0%～</w:t>
      </w:r>
      <w:r>
        <w:rPr>
          <w:rFonts w:hint="eastAsia"/>
          <w:i w:val="0"/>
          <w:iCs w:val="0"/>
          <w:color w:val="auto"/>
          <w:lang w:val="en-US" w:eastAsia="zh-CN"/>
        </w:rPr>
        <w:t>60</w:t>
      </w:r>
      <w:r>
        <w:rPr>
          <w:rFonts w:hint="eastAsia"/>
          <w:i w:val="0"/>
          <w:iCs w:val="0"/>
          <w:color w:val="auto"/>
        </w:rPr>
        <w:t>%，大气压力700 hPa～1060 hPa；存储与运输环境温度</w:t>
      </w:r>
      <w:r>
        <w:rPr>
          <w:rFonts w:hint="eastAsia"/>
          <w:i w:val="0"/>
          <w:iCs w:val="0"/>
          <w:color w:val="auto"/>
          <w:lang w:val="en-US" w:eastAsia="zh-CN"/>
        </w:rPr>
        <w:t>宜</w:t>
      </w:r>
      <w:r>
        <w:rPr>
          <w:rFonts w:hint="eastAsia"/>
          <w:i w:val="0"/>
          <w:iCs w:val="0"/>
          <w:color w:val="auto"/>
        </w:rPr>
        <w:t>为-10</w:t>
      </w:r>
      <w:r>
        <w:rPr>
          <w:rFonts w:hint="eastAsia"/>
          <w:i w:val="0"/>
          <w:iCs w:val="0"/>
          <w:color w:val="auto"/>
          <w:lang w:val="en-US" w:eastAsia="zh-CN"/>
        </w:rPr>
        <w:t xml:space="preserve"> </w:t>
      </w:r>
      <w:r>
        <w:rPr>
          <w:rFonts w:hint="eastAsia"/>
          <w:i w:val="0"/>
          <w:iCs w:val="0"/>
          <w:color w:val="auto"/>
        </w:rPr>
        <w:t>℃～40</w:t>
      </w:r>
      <w:r>
        <w:rPr>
          <w:rFonts w:hint="eastAsia"/>
          <w:i w:val="0"/>
          <w:iCs w:val="0"/>
          <w:color w:val="auto"/>
          <w:lang w:val="en-US" w:eastAsia="zh-CN"/>
        </w:rPr>
        <w:t xml:space="preserve"> </w:t>
      </w:r>
      <w:r>
        <w:rPr>
          <w:rFonts w:hint="eastAsia"/>
          <w:i w:val="0"/>
          <w:iCs w:val="0"/>
          <w:color w:val="auto"/>
        </w:rPr>
        <w:t>℃，相对湿度≤</w:t>
      </w:r>
      <w:r>
        <w:rPr>
          <w:rFonts w:hint="eastAsia"/>
          <w:i w:val="0"/>
          <w:iCs w:val="0"/>
          <w:color w:val="auto"/>
          <w:lang w:val="en-US" w:eastAsia="zh-CN"/>
        </w:rPr>
        <w:t>9</w:t>
      </w:r>
      <w:r>
        <w:rPr>
          <w:rFonts w:hint="eastAsia"/>
          <w:i w:val="0"/>
          <w:iCs w:val="0"/>
          <w:color w:val="auto"/>
        </w:rPr>
        <w:t>0%。</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38" w:name="_Toc913442015"/>
      <w:r>
        <w:rPr>
          <w:rFonts w:hint="eastAsia"/>
          <w:i w:val="0"/>
          <w:iCs w:val="0"/>
          <w:color w:val="auto"/>
        </w:rPr>
        <w:t>系统安装与接口</w:t>
      </w:r>
      <w:bookmarkEnd w:id="38"/>
    </w:p>
    <w:p>
      <w:pPr>
        <w:pStyle w:val="1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exact"/>
        <w:ind w:firstLine="420" w:firstLineChars="200"/>
        <w:textAlignment w:val="auto"/>
        <w:rPr>
          <w:rFonts w:hint="eastAsia"/>
          <w:i w:val="0"/>
          <w:iCs w:val="0"/>
          <w:color w:val="auto"/>
        </w:rPr>
      </w:pPr>
      <w:r>
        <w:rPr>
          <w:rFonts w:hint="eastAsia"/>
          <w:i w:val="0"/>
          <w:iCs w:val="0"/>
          <w:color w:val="auto"/>
        </w:rPr>
        <w:t>系统安装与电气连接应</w:t>
      </w:r>
      <w:r>
        <w:rPr>
          <w:rFonts w:hint="eastAsia"/>
          <w:i w:val="0"/>
          <w:iCs w:val="0"/>
          <w:color w:val="auto"/>
          <w:lang w:val="en-US" w:eastAsia="zh-CN"/>
        </w:rPr>
        <w:t>按照</w:t>
      </w:r>
      <w:r>
        <w:rPr>
          <w:rFonts w:hint="eastAsia"/>
          <w:i w:val="0"/>
          <w:iCs w:val="0"/>
          <w:color w:val="auto"/>
        </w:rPr>
        <w:t>GB 9706.1的相关要求。执行单元应稳固固定于导管床导轨或底座，电气连接可靠并配备不间断电源（UPS）。接地及电磁兼容性能应符合医疗电气设备安全标准及制造商技术文件要求。</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39" w:name="_Toc2006837349"/>
      <w:r>
        <w:rPr>
          <w:rFonts w:hint="eastAsia"/>
          <w:i w:val="0"/>
          <w:iCs w:val="0"/>
          <w:color w:val="auto"/>
        </w:rPr>
        <w:t>无菌保障</w:t>
      </w:r>
      <w:bookmarkEnd w:id="39"/>
    </w:p>
    <w:p>
      <w:pPr>
        <w:pStyle w:val="1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exact"/>
        <w:ind w:firstLine="420" w:firstLineChars="200"/>
        <w:textAlignment w:val="auto"/>
        <w:rPr>
          <w:rFonts w:hint="eastAsia"/>
          <w:i w:val="0"/>
          <w:iCs w:val="0"/>
          <w:color w:val="auto"/>
        </w:rPr>
      </w:pPr>
      <w:r>
        <w:rPr>
          <w:rFonts w:hint="eastAsia"/>
          <w:i w:val="0"/>
          <w:iCs w:val="0"/>
          <w:color w:val="auto"/>
        </w:rPr>
        <w:t>执行单元进入无菌区前应加装一次性无菌防护罩，安装操作应符合无菌操作规范。使用后的污染耗材应</w:t>
      </w:r>
      <w:r>
        <w:rPr>
          <w:rFonts w:hint="eastAsia"/>
          <w:i w:val="0"/>
          <w:iCs w:val="0"/>
          <w:color w:val="auto"/>
          <w:lang w:val="en-US" w:eastAsia="zh-CN"/>
        </w:rPr>
        <w:t>按照</w:t>
      </w:r>
      <w:r>
        <w:rPr>
          <w:rFonts w:hint="eastAsia"/>
          <w:i w:val="0"/>
          <w:iCs w:val="0"/>
          <w:color w:val="auto"/>
        </w:rPr>
        <w:t>GB 15982</w:t>
      </w:r>
      <w:r>
        <w:rPr>
          <w:rFonts w:hint="eastAsia"/>
          <w:i w:val="0"/>
          <w:iCs w:val="0"/>
          <w:color w:val="auto"/>
          <w:lang w:val="en-US" w:eastAsia="zh-CN"/>
        </w:rPr>
        <w:t>规定及</w:t>
      </w:r>
      <w:r>
        <w:rPr>
          <w:rFonts w:hint="eastAsia"/>
          <w:i w:val="0"/>
          <w:iCs w:val="0"/>
          <w:color w:val="auto"/>
        </w:rPr>
        <w:t>《医疗废物管理条例》进行处置，防止交叉污染。</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40" w:name="_Toc537164861"/>
      <w:r>
        <w:rPr>
          <w:rFonts w:hint="eastAsia"/>
          <w:i w:val="0"/>
          <w:iCs w:val="0"/>
          <w:color w:val="auto"/>
          <w:highlight w:val="none"/>
        </w:rPr>
        <w:t>器械兼容性</w:t>
      </w:r>
      <w:bookmarkEnd w:id="40"/>
    </w:p>
    <w:p>
      <w:pPr>
        <w:pStyle w:val="1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exact"/>
        <w:ind w:firstLine="420" w:firstLineChars="200"/>
        <w:textAlignment w:val="auto"/>
        <w:rPr>
          <w:rFonts w:hint="eastAsia"/>
          <w:i w:val="0"/>
          <w:iCs w:val="0"/>
          <w:color w:val="auto"/>
        </w:rPr>
      </w:pPr>
      <w:r>
        <w:rPr>
          <w:rFonts w:hint="eastAsia"/>
          <w:i w:val="0"/>
          <w:iCs w:val="0"/>
          <w:color w:val="auto"/>
        </w:rPr>
        <w:t>所使用的导引导管、导丝、球囊及支架系统应与设备无菌盒规格匹配。兼容性核查与耗材要求应依据制造商技术文件执行。术前应核对器械型号与接口匹配性，防止因规格不符造成设备运行异常。</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firstLine="0" w:firstLineChars="0"/>
        <w:textAlignment w:val="auto"/>
        <w:outlineLvl w:val="1"/>
        <w:rPr>
          <w:rFonts w:hint="eastAsia" w:ascii="黑体" w:hAnsi="Times New Roman" w:cs="Times New Roman"/>
          <w:i w:val="0"/>
          <w:iCs w:val="0"/>
          <w:color w:val="auto"/>
          <w:kern w:val="0"/>
          <w:szCs w:val="20"/>
        </w:rPr>
      </w:pPr>
      <w:bookmarkStart w:id="41" w:name="_Toc108566839"/>
      <w:r>
        <w:rPr>
          <w:rFonts w:hint="eastAsia" w:ascii="黑体" w:hAnsi="Times New Roman" w:eastAsia="黑体" w:cs="Times New Roman"/>
          <w:i w:val="0"/>
          <w:iCs w:val="0"/>
          <w:color w:val="auto"/>
          <w:kern w:val="0"/>
          <w:szCs w:val="20"/>
        </w:rPr>
        <w:t>安全与应急管理要求</w:t>
      </w:r>
      <w:bookmarkEnd w:id="41"/>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42" w:name="_Toc1469246770"/>
      <w:r>
        <w:rPr>
          <w:rFonts w:hint="eastAsia"/>
          <w:i w:val="0"/>
          <w:iCs w:val="0"/>
          <w:color w:val="auto"/>
        </w:rPr>
        <w:t>应急预案</w:t>
      </w:r>
      <w:bookmarkEnd w:id="42"/>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i w:val="0"/>
          <w:iCs w:val="0"/>
          <w:color w:val="auto"/>
        </w:rPr>
      </w:pPr>
      <w:r>
        <w:rPr>
          <w:rFonts w:hint="eastAsia"/>
          <w:i w:val="0"/>
          <w:iCs w:val="0"/>
          <w:color w:val="auto"/>
        </w:rPr>
        <w:t>医疗机构应制定</w:t>
      </w:r>
      <w:r>
        <w:rPr>
          <w:rFonts w:hint="eastAsia"/>
          <w:i w:val="0"/>
          <w:iCs w:val="0"/>
          <w:color w:val="auto"/>
          <w:lang w:eastAsia="zh-CN"/>
        </w:rPr>
        <w:t>冠状动脉介入机器人</w:t>
      </w:r>
      <w:r>
        <w:rPr>
          <w:rFonts w:hint="eastAsia"/>
          <w:i w:val="0"/>
          <w:iCs w:val="0"/>
          <w:color w:val="auto"/>
        </w:rPr>
        <w:t>手术应急处置方案，明确设备故障、电源中断及操作异常的应对流程。术前应检查备用系统完备性，确保可随时切换为人工操作。</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43" w:name="_Toc1863490184"/>
      <w:r>
        <w:rPr>
          <w:rFonts w:hint="eastAsia"/>
          <w:i w:val="0"/>
          <w:iCs w:val="0"/>
          <w:color w:val="auto"/>
        </w:rPr>
        <w:t>备用设备</w:t>
      </w:r>
      <w:bookmarkEnd w:id="43"/>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i w:val="0"/>
          <w:iCs w:val="0"/>
          <w:color w:val="auto"/>
        </w:rPr>
      </w:pPr>
      <w:r>
        <w:rPr>
          <w:rFonts w:hint="eastAsia"/>
          <w:i w:val="0"/>
          <w:iCs w:val="0"/>
          <w:color w:val="auto"/>
        </w:rPr>
        <w:t>医疗机构应建立</w:t>
      </w:r>
      <w:r>
        <w:rPr>
          <w:rFonts w:hint="eastAsia"/>
          <w:i w:val="0"/>
          <w:iCs w:val="0"/>
          <w:color w:val="auto"/>
          <w:lang w:eastAsia="zh-CN"/>
        </w:rPr>
        <w:t>冠状动脉介入机器人</w:t>
      </w:r>
      <w:r>
        <w:rPr>
          <w:rFonts w:hint="eastAsia"/>
          <w:i w:val="0"/>
          <w:iCs w:val="0"/>
          <w:color w:val="auto"/>
        </w:rPr>
        <w:t>手术的应急保障体系，明确应急设备配置标准和维护制度。导管室应确保常规PCI操作所需设备处于可用状态，并定期检查高压注射装置、监护及循环支持系统的运行情况，保证在机器人系统中断或故障时可安全实施人工接管。</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44" w:name="_Toc778014640"/>
      <w:r>
        <w:rPr>
          <w:rFonts w:hint="eastAsia"/>
          <w:i w:val="0"/>
          <w:iCs w:val="0"/>
          <w:color w:val="auto"/>
        </w:rPr>
        <w:t>模拟演练</w:t>
      </w:r>
      <w:bookmarkEnd w:id="44"/>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i w:val="0"/>
          <w:iCs w:val="0"/>
          <w:color w:val="auto"/>
        </w:rPr>
      </w:pPr>
      <w:r>
        <w:rPr>
          <w:rFonts w:hint="eastAsia"/>
          <w:i w:val="0"/>
          <w:iCs w:val="0"/>
          <w:color w:val="auto"/>
        </w:rPr>
        <w:t>医疗机构应定期组织设备故障及应急中转演练，确保相关人员熟悉应对流程及安全操作要求。</w:t>
      </w:r>
    </w:p>
    <w:p>
      <w:pPr>
        <w:pStyle w:val="17"/>
        <w:keepNext w:val="0"/>
        <w:keepLines w:val="0"/>
        <w:pageBreakBefore w:val="0"/>
        <w:numPr>
          <w:ilvl w:val="0"/>
          <w:numId w:val="2"/>
        </w:numPr>
        <w:kinsoku/>
        <w:wordWrap/>
        <w:overflowPunct/>
        <w:topLinePunct w:val="0"/>
        <w:bidi w:val="0"/>
        <w:adjustRightInd/>
        <w:spacing w:before="312" w:beforeLines="100" w:after="312" w:afterLines="100" w:line="240" w:lineRule="auto"/>
        <w:ind w:firstLine="0" w:firstLineChars="0"/>
        <w:textAlignment w:val="auto"/>
        <w:outlineLvl w:val="9"/>
        <w:rPr>
          <w:rFonts w:hint="eastAsia" w:ascii="黑体" w:hAnsi="Times New Roman" w:eastAsia="黑体" w:cs="Times New Roman"/>
          <w:i w:val="0"/>
          <w:iCs w:val="0"/>
          <w:color w:val="auto"/>
          <w:kern w:val="0"/>
          <w:szCs w:val="20"/>
        </w:rPr>
      </w:pPr>
      <w:bookmarkStart w:id="45" w:name="_Toc64127897"/>
      <w:r>
        <w:rPr>
          <w:rFonts w:hint="eastAsia" w:ascii="黑体" w:hAnsi="Times New Roman" w:eastAsia="黑体" w:cs="Times New Roman"/>
          <w:i w:val="0"/>
          <w:iCs w:val="0"/>
          <w:color w:val="auto"/>
          <w:kern w:val="0"/>
          <w:szCs w:val="20"/>
        </w:rPr>
        <w:t>术前准备</w:t>
      </w:r>
      <w:bookmarkEnd w:id="45"/>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firstLine="0" w:firstLineChars="0"/>
        <w:textAlignment w:val="auto"/>
        <w:outlineLvl w:val="1"/>
        <w:rPr>
          <w:rFonts w:hint="eastAsia" w:ascii="黑体" w:hAnsi="Times New Roman" w:eastAsia="黑体" w:cs="Times New Roman"/>
          <w:i w:val="0"/>
          <w:iCs w:val="0"/>
          <w:color w:val="auto"/>
          <w:kern w:val="0"/>
          <w:szCs w:val="20"/>
          <w:lang w:val="en-US" w:eastAsia="zh-CN"/>
        </w:rPr>
      </w:pPr>
      <w:bookmarkStart w:id="46" w:name="_Toc1908257732"/>
      <w:r>
        <w:rPr>
          <w:rFonts w:hint="eastAsia" w:ascii="黑体" w:hAnsi="Times New Roman" w:eastAsia="黑体" w:cs="Times New Roman"/>
          <w:i w:val="0"/>
          <w:iCs w:val="0"/>
          <w:color w:val="auto"/>
          <w:kern w:val="0"/>
          <w:szCs w:val="20"/>
          <w:lang w:val="en-US" w:eastAsia="zh-CN"/>
        </w:rPr>
        <w:t>患者评估与知情同意</w:t>
      </w:r>
      <w:bookmarkEnd w:id="46"/>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47" w:name="_Toc1566917426"/>
      <w:r>
        <w:rPr>
          <w:rFonts w:hint="eastAsia"/>
          <w:i w:val="0"/>
          <w:iCs w:val="0"/>
          <w:color w:val="auto"/>
        </w:rPr>
        <w:t>评估要求与内容</w:t>
      </w:r>
      <w:bookmarkEnd w:id="47"/>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eastAsia="宋体"/>
          <w:i w:val="0"/>
          <w:iCs w:val="0"/>
          <w:color w:val="auto"/>
          <w:lang w:eastAsia="zh-CN"/>
        </w:rPr>
      </w:pPr>
      <w:r>
        <w:rPr>
          <w:rFonts w:hint="eastAsia"/>
          <w:i w:val="0"/>
          <w:iCs w:val="0"/>
          <w:color w:val="auto"/>
        </w:rPr>
        <w:t>术前应由具备资质的医师对患者进行系统评估，内容包括病史、影像及风险分层等，以指导机器人系统的使用</w:t>
      </w:r>
      <w:r>
        <w:rPr>
          <w:rFonts w:hint="eastAsia"/>
          <w:i w:val="0"/>
          <w:iCs w:val="0"/>
          <w:color w:val="auto"/>
          <w:lang w:eastAsia="zh-CN"/>
        </w:rPr>
        <w:t>。</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48" w:name="_Toc589215621"/>
      <w:r>
        <w:rPr>
          <w:rFonts w:hint="eastAsia"/>
          <w:i w:val="0"/>
          <w:iCs w:val="0"/>
          <w:color w:val="auto"/>
        </w:rPr>
        <w:t>辅助</w:t>
      </w:r>
      <w:r>
        <w:rPr>
          <w:rFonts w:hint="eastAsia"/>
          <w:i w:val="0"/>
          <w:iCs w:val="0"/>
          <w:color w:val="auto"/>
          <w:lang w:val="en-US" w:eastAsia="zh-CN"/>
        </w:rPr>
        <w:t>检查</w:t>
      </w:r>
      <w:r>
        <w:rPr>
          <w:rFonts w:hint="eastAsia"/>
          <w:i w:val="0"/>
          <w:iCs w:val="0"/>
          <w:color w:val="auto"/>
        </w:rPr>
        <w:t>与影像学评估</w:t>
      </w:r>
      <w:bookmarkEnd w:id="48"/>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i w:val="0"/>
          <w:iCs w:val="0"/>
          <w:color w:val="auto"/>
        </w:rPr>
      </w:pPr>
      <w:r>
        <w:rPr>
          <w:rFonts w:hint="eastAsia"/>
          <w:i w:val="0"/>
          <w:iCs w:val="0"/>
          <w:color w:val="auto"/>
        </w:rPr>
        <w:t>术前应完成心电图、心脏超声及必要的实验室检查，以评估心功能及相关并发风险。必要时可结合冠状动脉造影、计算机断层</w:t>
      </w:r>
      <w:r>
        <w:rPr>
          <w:rFonts w:hint="eastAsia"/>
          <w:i w:val="0"/>
          <w:iCs w:val="0"/>
          <w:color w:val="auto"/>
          <w:lang w:val="en-US" w:eastAsia="zh-CN"/>
        </w:rPr>
        <w:t>血管成像</w:t>
      </w:r>
      <w:r>
        <w:rPr>
          <w:rFonts w:hint="eastAsia"/>
          <w:i w:val="0"/>
          <w:iCs w:val="0"/>
          <w:color w:val="auto"/>
        </w:rPr>
        <w:t>（CTA）或功能学</w:t>
      </w:r>
      <w:r>
        <w:rPr>
          <w:rFonts w:hint="eastAsia"/>
          <w:i w:val="0"/>
          <w:iCs w:val="0"/>
          <w:color w:val="auto"/>
          <w:lang w:val="en-US" w:eastAsia="zh-CN"/>
        </w:rPr>
        <w:t>检查</w:t>
      </w:r>
      <w:r>
        <w:rPr>
          <w:rFonts w:hint="eastAsia"/>
          <w:i w:val="0"/>
          <w:iCs w:val="0"/>
          <w:color w:val="auto"/>
        </w:rPr>
        <w:t>结果，对病变特征及血运重建策略进行判定。</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49" w:name="_Toc1129022636"/>
      <w:r>
        <w:rPr>
          <w:rFonts w:hint="eastAsia"/>
          <w:i w:val="0"/>
          <w:iCs w:val="0"/>
          <w:color w:val="auto"/>
        </w:rPr>
        <w:t>知情</w:t>
      </w:r>
      <w:r>
        <w:rPr>
          <w:rFonts w:hint="eastAsia"/>
          <w:i w:val="0"/>
          <w:iCs w:val="0"/>
          <w:color w:val="auto"/>
          <w:lang w:val="en-US" w:eastAsia="zh-CN"/>
        </w:rPr>
        <w:t>告知</w:t>
      </w:r>
      <w:r>
        <w:rPr>
          <w:rFonts w:hint="eastAsia"/>
          <w:i w:val="0"/>
          <w:iCs w:val="0"/>
          <w:color w:val="auto"/>
        </w:rPr>
        <w:t>与同意</w:t>
      </w:r>
      <w:bookmarkEnd w:id="49"/>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i w:val="0"/>
          <w:iCs w:val="0"/>
          <w:color w:val="auto"/>
        </w:rPr>
      </w:pPr>
      <w:r>
        <w:rPr>
          <w:rFonts w:hint="eastAsia"/>
          <w:i w:val="0"/>
          <w:iCs w:val="0"/>
          <w:color w:val="auto"/>
        </w:rPr>
        <w:t>术前应向患者及家属说明手术目的、潜在风险及替代方案</w:t>
      </w:r>
      <w:r>
        <w:rPr>
          <w:rFonts w:hint="eastAsia"/>
          <w:i w:val="0"/>
          <w:iCs w:val="0"/>
          <w:color w:val="auto"/>
          <w:lang w:eastAsia="zh-CN"/>
        </w:rPr>
        <w:t>，</w:t>
      </w:r>
      <w:r>
        <w:rPr>
          <w:rFonts w:hint="eastAsia"/>
          <w:i w:val="0"/>
          <w:iCs w:val="0"/>
          <w:color w:val="auto"/>
          <w:lang w:val="en-US" w:eastAsia="zh-CN"/>
        </w:rPr>
        <w:t>并说明</w:t>
      </w:r>
      <w:r>
        <w:rPr>
          <w:rFonts w:hint="eastAsia"/>
          <w:i w:val="0"/>
          <w:iCs w:val="0"/>
          <w:color w:val="auto"/>
          <w:lang w:eastAsia="zh-CN"/>
        </w:rPr>
        <w:t>冠状动脉介入机器人</w:t>
      </w:r>
      <w:r>
        <w:rPr>
          <w:rFonts w:hint="eastAsia"/>
          <w:i w:val="0"/>
          <w:iCs w:val="0"/>
          <w:color w:val="auto"/>
        </w:rPr>
        <w:t>的功能</w:t>
      </w:r>
      <w:r>
        <w:rPr>
          <w:rFonts w:hint="eastAsia"/>
          <w:i w:val="0"/>
          <w:iCs w:val="0"/>
          <w:color w:val="auto"/>
          <w:lang w:val="en-US" w:eastAsia="zh-CN"/>
        </w:rPr>
        <w:t>特点</w:t>
      </w:r>
      <w:r>
        <w:rPr>
          <w:rFonts w:hint="eastAsia"/>
          <w:i w:val="0"/>
          <w:iCs w:val="0"/>
          <w:color w:val="auto"/>
        </w:rPr>
        <w:t>、</w:t>
      </w:r>
      <w:r>
        <w:rPr>
          <w:rFonts w:hint="eastAsia"/>
          <w:i w:val="0"/>
          <w:iCs w:val="0"/>
          <w:color w:val="auto"/>
          <w:lang w:val="en-US" w:eastAsia="zh-CN"/>
        </w:rPr>
        <w:t>目前应用</w:t>
      </w:r>
      <w:r>
        <w:rPr>
          <w:rFonts w:hint="eastAsia"/>
          <w:i w:val="0"/>
          <w:iCs w:val="0"/>
          <w:color w:val="auto"/>
        </w:rPr>
        <w:t>局限性及可能的操作中转情形。经患者充分理解并同意后，应签署书面知情同意书。</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firstLine="0" w:firstLineChars="0"/>
        <w:textAlignment w:val="auto"/>
        <w:outlineLvl w:val="1"/>
        <w:rPr>
          <w:rFonts w:hint="eastAsia" w:ascii="黑体" w:hAnsi="Times New Roman" w:cs="Times New Roman"/>
          <w:i w:val="0"/>
          <w:iCs w:val="0"/>
          <w:color w:val="auto"/>
          <w:kern w:val="0"/>
          <w:szCs w:val="20"/>
        </w:rPr>
      </w:pPr>
      <w:bookmarkStart w:id="50" w:name="_Toc317938360"/>
      <w:r>
        <w:rPr>
          <w:rFonts w:hint="eastAsia" w:ascii="黑体" w:hAnsi="Times New Roman" w:eastAsia="黑体" w:cs="Times New Roman"/>
          <w:i w:val="0"/>
          <w:iCs w:val="0"/>
          <w:color w:val="auto"/>
          <w:kern w:val="0"/>
          <w:szCs w:val="20"/>
        </w:rPr>
        <w:t>手术方案与支持策略</w:t>
      </w:r>
      <w:bookmarkEnd w:id="50"/>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51" w:name="_Toc650702784"/>
      <w:r>
        <w:rPr>
          <w:rFonts w:hint="eastAsia"/>
          <w:i w:val="0"/>
          <w:iCs w:val="0"/>
          <w:color w:val="auto"/>
        </w:rPr>
        <w:t>手术策略制定</w:t>
      </w:r>
      <w:bookmarkEnd w:id="51"/>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i w:val="0"/>
          <w:iCs w:val="0"/>
          <w:color w:val="auto"/>
        </w:rPr>
      </w:pPr>
      <w:r>
        <w:rPr>
          <w:rFonts w:hint="eastAsia"/>
          <w:i w:val="0"/>
          <w:iCs w:val="0"/>
          <w:color w:val="auto"/>
        </w:rPr>
        <w:t>术前应根据病变性质、解剖结构及风险评估结果制定</w:t>
      </w:r>
      <w:r>
        <w:rPr>
          <w:rFonts w:hint="eastAsia"/>
          <w:i w:val="0"/>
          <w:iCs w:val="0"/>
          <w:color w:val="auto"/>
          <w:lang w:eastAsia="zh-CN"/>
        </w:rPr>
        <w:t>冠状动脉介入机器人</w:t>
      </w:r>
      <w:r>
        <w:rPr>
          <w:rFonts w:hint="eastAsia"/>
          <w:i w:val="0"/>
          <w:iCs w:val="0"/>
          <w:color w:val="auto"/>
        </w:rPr>
        <w:t>手术方案。方案内容应包括血运重建目标、操作路径、器械选择及预期处理策略。</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52" w:name="_Toc1374960164"/>
      <w:r>
        <w:rPr>
          <w:rFonts w:hint="eastAsia"/>
          <w:i w:val="0"/>
          <w:iCs w:val="0"/>
          <w:color w:val="auto"/>
        </w:rPr>
        <w:t>手术适用性评估</w:t>
      </w:r>
      <w:bookmarkEnd w:id="52"/>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i w:val="0"/>
          <w:iCs w:val="0"/>
          <w:color w:val="auto"/>
        </w:rPr>
      </w:pPr>
      <w:r>
        <w:rPr>
          <w:rFonts w:hint="eastAsia"/>
          <w:i w:val="0"/>
          <w:iCs w:val="0"/>
          <w:color w:val="auto"/>
        </w:rPr>
        <w:t>术者应结合影像学与功能学资料、病变复杂度评分（如SYNTAX评分），评估病变是否符合冠状动脉介入机器人操作条件；对不适</w:t>
      </w:r>
      <w:r>
        <w:rPr>
          <w:rFonts w:hint="eastAsia"/>
          <w:i w:val="0"/>
          <w:iCs w:val="0"/>
          <w:color w:val="auto"/>
          <w:lang w:val="en-US" w:eastAsia="zh-CN"/>
        </w:rPr>
        <w:t>用</w:t>
      </w:r>
      <w:r>
        <w:rPr>
          <w:rFonts w:hint="eastAsia"/>
          <w:i w:val="0"/>
          <w:iCs w:val="0"/>
          <w:color w:val="auto"/>
        </w:rPr>
        <w:t>机器人操作的病变类型，应提前确定替代治疗方式，并经心脏团队共同决策。对存在严重钙化、慢性完全闭塞或多分支复杂病变的病例，应综合判断机器人操作的可行性与安全性，并在必要时改由人工操作或其他治疗方式。</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53" w:name="_Toc2031434628"/>
      <w:r>
        <w:rPr>
          <w:rFonts w:hint="eastAsia"/>
          <w:i w:val="0"/>
          <w:iCs w:val="0"/>
          <w:color w:val="auto"/>
        </w:rPr>
        <w:t>支持与应急准备</w:t>
      </w:r>
      <w:bookmarkEnd w:id="53"/>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i w:val="0"/>
          <w:iCs w:val="0"/>
          <w:color w:val="auto"/>
        </w:rPr>
      </w:pPr>
      <w:r>
        <w:rPr>
          <w:rFonts w:hint="eastAsia"/>
          <w:i w:val="0"/>
          <w:iCs w:val="0"/>
          <w:color w:val="auto"/>
        </w:rPr>
        <w:t>对存在高风险或血流动力学不稳定的患者，术前应准备必要的循环支持装置及急救设备。医疗机构应建立</w:t>
      </w:r>
      <w:r>
        <w:rPr>
          <w:rFonts w:hint="eastAsia"/>
          <w:i w:val="0"/>
          <w:iCs w:val="0"/>
          <w:color w:val="auto"/>
          <w:lang w:val="en-US" w:eastAsia="zh-CN"/>
        </w:rPr>
        <w:t>心脏</w:t>
      </w:r>
      <w:r>
        <w:rPr>
          <w:rFonts w:hint="eastAsia"/>
          <w:i w:val="0"/>
          <w:iCs w:val="0"/>
          <w:color w:val="auto"/>
        </w:rPr>
        <w:t>外科与麻醉科协作机制，</w:t>
      </w:r>
      <w:r>
        <w:rPr>
          <w:rFonts w:hint="eastAsia"/>
          <w:i w:val="0"/>
          <w:iCs w:val="0"/>
          <w:color w:val="auto"/>
          <w:lang w:val="en-US" w:eastAsia="zh-CN"/>
        </w:rPr>
        <w:t>保障</w:t>
      </w:r>
      <w:r>
        <w:rPr>
          <w:rFonts w:hint="eastAsia"/>
          <w:i w:val="0"/>
          <w:iCs w:val="0"/>
          <w:color w:val="auto"/>
        </w:rPr>
        <w:t>在出现严重并发症时可及时救治。</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hanging="4" w:firstLineChars="0"/>
        <w:textAlignment w:val="auto"/>
        <w:outlineLvl w:val="2"/>
        <w:rPr>
          <w:rFonts w:hint="eastAsia"/>
          <w:i w:val="0"/>
          <w:iCs w:val="0"/>
          <w:color w:val="auto"/>
        </w:rPr>
      </w:pPr>
      <w:bookmarkStart w:id="54" w:name="_Toc1626772790"/>
      <w:r>
        <w:rPr>
          <w:rFonts w:hint="eastAsia"/>
          <w:i w:val="0"/>
          <w:iCs w:val="0"/>
          <w:color w:val="auto"/>
        </w:rPr>
        <w:t>术前团队决策与分工</w:t>
      </w:r>
      <w:bookmarkEnd w:id="54"/>
    </w:p>
    <w:p>
      <w:pPr>
        <w:pStyle w:val="18"/>
        <w:keepNext w:val="0"/>
        <w:keepLines w:val="0"/>
        <w:pageBreakBefore w:val="0"/>
        <w:tabs>
          <w:tab w:val="center" w:pos="4201"/>
          <w:tab w:val="right" w:leader="dot" w:pos="9298"/>
        </w:tabs>
        <w:kinsoku/>
        <w:wordWrap/>
        <w:overflowPunct/>
        <w:topLinePunct w:val="0"/>
        <w:bidi w:val="0"/>
        <w:adjustRightInd/>
        <w:spacing w:line="360" w:lineRule="exact"/>
        <w:ind w:firstLine="420" w:firstLineChars="200"/>
        <w:textAlignment w:val="auto"/>
        <w:rPr>
          <w:rFonts w:hint="eastAsia"/>
          <w:i w:val="0"/>
          <w:iCs w:val="0"/>
          <w:color w:val="auto"/>
        </w:rPr>
      </w:pPr>
      <w:r>
        <w:rPr>
          <w:rFonts w:hint="eastAsia"/>
          <w:i w:val="0"/>
          <w:iCs w:val="0"/>
          <w:color w:val="auto"/>
        </w:rPr>
        <w:t>术前应由</w:t>
      </w:r>
      <w:r>
        <w:rPr>
          <w:rFonts w:hint="eastAsia"/>
          <w:i w:val="0"/>
          <w:iCs w:val="0"/>
          <w:color w:val="auto"/>
          <w:lang w:val="en-US" w:eastAsia="zh-CN"/>
        </w:rPr>
        <w:t>术者</w:t>
      </w:r>
      <w:r>
        <w:rPr>
          <w:rFonts w:hint="eastAsia"/>
          <w:i w:val="0"/>
          <w:iCs w:val="0"/>
          <w:color w:val="auto"/>
        </w:rPr>
        <w:t>组织</w:t>
      </w:r>
      <w:r>
        <w:rPr>
          <w:rFonts w:hint="eastAsia"/>
          <w:i w:val="0"/>
          <w:iCs w:val="0"/>
          <w:color w:val="auto"/>
          <w:lang w:val="en-US" w:eastAsia="zh-CN"/>
        </w:rPr>
        <w:t>心脏团队</w:t>
      </w:r>
      <w:r>
        <w:rPr>
          <w:rFonts w:hint="eastAsia"/>
          <w:i w:val="0"/>
          <w:iCs w:val="0"/>
          <w:color w:val="auto"/>
        </w:rPr>
        <w:t>决策，明确手术目标、技术路线、备选方案及各岗位职责与应急分工；相关决策应形成书面记录并纳入病历与质量管理系统。</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cs="Times New Roman"/>
          <w:i w:val="0"/>
          <w:iCs w:val="0"/>
          <w:color w:val="auto"/>
          <w:kern w:val="0"/>
          <w:szCs w:val="20"/>
        </w:rPr>
      </w:pPr>
      <w:bookmarkStart w:id="55" w:name="_Toc1555971573"/>
      <w:r>
        <w:rPr>
          <w:rFonts w:hint="eastAsia" w:ascii="黑体" w:hAnsi="Times New Roman" w:cs="Times New Roman"/>
          <w:i w:val="0"/>
          <w:iCs w:val="0"/>
          <w:color w:val="auto"/>
          <w:kern w:val="0"/>
          <w:szCs w:val="20"/>
        </w:rPr>
        <w:t>器械与物资准备</w:t>
      </w:r>
      <w:bookmarkEnd w:id="55"/>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56" w:name="_Toc1305857892"/>
      <w:r>
        <w:rPr>
          <w:rFonts w:hint="eastAsia" w:ascii="Times New Roman"/>
          <w:i w:val="0"/>
          <w:iCs w:val="0"/>
          <w:color w:val="auto"/>
        </w:rPr>
        <w:t>基本配置</w:t>
      </w:r>
      <w:bookmarkEnd w:id="56"/>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开展</w:t>
      </w:r>
      <w:r>
        <w:rPr>
          <w:rFonts w:hint="eastAsia" w:ascii="Times New Roman"/>
          <w:i w:val="0"/>
          <w:iCs w:val="0"/>
          <w:color w:val="auto"/>
          <w:lang w:eastAsia="zh-CN"/>
        </w:rPr>
        <w:t>冠状动脉介入机器人</w:t>
      </w:r>
      <w:r>
        <w:rPr>
          <w:rFonts w:hint="eastAsia" w:ascii="Times New Roman"/>
          <w:i w:val="0"/>
          <w:iCs w:val="0"/>
          <w:color w:val="auto"/>
        </w:rPr>
        <w:t>手术的导管室应具备PCI所需的标准设备与监护系统，包括影像显示、造影与冲洗系统、循环监测、除颤及急救装置等。所有设备应保持良好运行状态并定期维护校验。</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57" w:name="_Toc270718504"/>
      <w:r>
        <w:rPr>
          <w:rFonts w:hint="eastAsia" w:ascii="Times New Roman"/>
          <w:i w:val="0"/>
          <w:iCs w:val="0"/>
          <w:color w:val="auto"/>
        </w:rPr>
        <w:t>机器人专用耗材</w:t>
      </w:r>
      <w:bookmarkEnd w:id="57"/>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lang w:eastAsia="zh-CN"/>
        </w:rPr>
        <w:t>冠状动脉介入机器人</w:t>
      </w:r>
      <w:r>
        <w:rPr>
          <w:rFonts w:hint="eastAsia" w:ascii="Times New Roman"/>
          <w:i w:val="0"/>
          <w:iCs w:val="0"/>
          <w:color w:val="auto"/>
        </w:rPr>
        <w:t>系统的专用耗材应齐备且处于有效使用期，包括一次性无菌操作盒、机械臂防护罩、连接组件及其他配套附件。耗材的配置、贮存和使用应符合制造商技术文件及医疗机构无菌物品管理要求。</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58" w:name="_Toc1595532382"/>
      <w:r>
        <w:rPr>
          <w:rFonts w:hint="eastAsia" w:ascii="Times New Roman"/>
          <w:i w:val="0"/>
          <w:iCs w:val="0"/>
          <w:color w:val="auto"/>
        </w:rPr>
        <w:t>介入耗材兼容性</w:t>
      </w:r>
      <w:bookmarkEnd w:id="58"/>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所用导引导管、导丝、球囊和支架系统应与机器人系统的接口及规格兼容。术前应核对型号匹配情况，确保导管装载顺畅、运动阻力正常。不同型号设备的耗材选择应依制造商说明执行。</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59" w:name="_Toc484444185"/>
      <w:r>
        <w:rPr>
          <w:rFonts w:hint="eastAsia" w:ascii="Times New Roman"/>
          <w:i w:val="0"/>
          <w:iCs w:val="0"/>
          <w:color w:val="auto"/>
        </w:rPr>
        <w:t>应急与备用器材</w:t>
      </w:r>
      <w:bookmarkEnd w:id="59"/>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术前应确认导管室内应急器械准备完备，包括对比剂注射装置、导管接口组件（如Y形阀、手动滑块、延长管等）、肝素盐水冲洗系统及备用导丝、球囊和支架等。所有器械应在术前完成功能检查，确保必要时可立即转换为</w:t>
      </w:r>
      <w:r>
        <w:rPr>
          <w:rFonts w:hint="eastAsia" w:ascii="Times New Roman"/>
          <w:i w:val="0"/>
          <w:iCs w:val="0"/>
          <w:color w:val="auto"/>
          <w:lang w:val="en-US" w:eastAsia="zh-CN"/>
        </w:rPr>
        <w:t>人工操作</w:t>
      </w:r>
      <w:r>
        <w:rPr>
          <w:rFonts w:hint="eastAsia" w:ascii="Times New Roman"/>
          <w:i w:val="0"/>
          <w:iCs w:val="0"/>
          <w:color w:val="auto"/>
        </w:rPr>
        <w:t>。</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bookmarkStart w:id="60" w:name="_Toc942911518"/>
      <w:r>
        <w:rPr>
          <w:rFonts w:hint="eastAsia" w:ascii="黑体" w:hAnsi="Times New Roman" w:eastAsia="黑体" w:cs="Times New Roman"/>
          <w:i w:val="0"/>
          <w:iCs w:val="0"/>
          <w:color w:val="auto"/>
          <w:kern w:val="0"/>
          <w:szCs w:val="20"/>
        </w:rPr>
        <w:t>术前患者准备</w:t>
      </w:r>
      <w:bookmarkEnd w:id="60"/>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61" w:name="_Toc1232051813"/>
      <w:r>
        <w:rPr>
          <w:rFonts w:hint="eastAsia" w:ascii="Times New Roman"/>
          <w:i w:val="0"/>
          <w:iCs w:val="0"/>
          <w:color w:val="auto"/>
        </w:rPr>
        <w:t>基础准备</w:t>
      </w:r>
      <w:bookmarkEnd w:id="61"/>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术前应根据手术计划对患者进行综合评估，确认生命体征稳定并具备实施PCI和</w:t>
      </w:r>
      <w:r>
        <w:rPr>
          <w:rFonts w:hint="eastAsia" w:ascii="Times New Roman"/>
          <w:i w:val="0"/>
          <w:iCs w:val="0"/>
          <w:color w:val="auto"/>
          <w:lang w:eastAsia="zh-CN"/>
        </w:rPr>
        <w:t>冠状动脉介入机器人</w:t>
      </w:r>
      <w:r>
        <w:rPr>
          <w:rFonts w:hint="eastAsia" w:ascii="Times New Roman"/>
          <w:i w:val="0"/>
          <w:iCs w:val="0"/>
          <w:color w:val="auto"/>
        </w:rPr>
        <w:t>操作的条件。</w:t>
      </w:r>
      <w:r>
        <w:rPr>
          <w:rFonts w:hint="eastAsia" w:ascii="Times New Roman"/>
          <w:i w:val="0"/>
          <w:iCs w:val="0"/>
          <w:color w:val="auto"/>
          <w:lang w:val="en-US" w:eastAsia="zh-CN"/>
        </w:rPr>
        <w:t>同时，</w:t>
      </w:r>
      <w:r>
        <w:rPr>
          <w:rFonts w:hint="eastAsia" w:ascii="Times New Roman"/>
          <w:i w:val="0"/>
          <w:iCs w:val="0"/>
          <w:color w:val="auto"/>
        </w:rPr>
        <w:t>患者应按要求完成禁食、皮肤清洁及穿刺部位准备，建立静脉通路和必要的</w:t>
      </w:r>
      <w:r>
        <w:rPr>
          <w:rFonts w:hint="eastAsia" w:ascii="Times New Roman"/>
          <w:i w:val="0"/>
          <w:iCs w:val="0"/>
          <w:color w:val="auto"/>
          <w:lang w:val="en-US" w:eastAsia="zh-CN"/>
        </w:rPr>
        <w:t>生命体征</w:t>
      </w:r>
      <w:r>
        <w:rPr>
          <w:rFonts w:hint="eastAsia" w:ascii="Times New Roman"/>
          <w:i w:val="0"/>
          <w:iCs w:val="0"/>
          <w:color w:val="auto"/>
        </w:rPr>
        <w:t>监护。</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62" w:name="_Toc1057496717"/>
      <w:r>
        <w:rPr>
          <w:rFonts w:hint="eastAsia" w:ascii="Times New Roman"/>
          <w:i w:val="0"/>
          <w:iCs w:val="0"/>
          <w:color w:val="auto"/>
        </w:rPr>
        <w:t>药物与风险预防</w:t>
      </w:r>
      <w:bookmarkEnd w:id="62"/>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术前用药应遵循相关指南及处方规范。应评估并优化抗血小板、抗凝及其他药物治疗方案，必要时进行造影剂</w:t>
      </w:r>
      <w:r>
        <w:rPr>
          <w:rFonts w:hint="eastAsia" w:ascii="Times New Roman"/>
          <w:i w:val="0"/>
          <w:iCs w:val="0"/>
          <w:color w:val="auto"/>
          <w:lang w:val="en-US" w:eastAsia="zh-CN"/>
        </w:rPr>
        <w:t>相关</w:t>
      </w:r>
      <w:r>
        <w:rPr>
          <w:rFonts w:hint="eastAsia" w:ascii="Times New Roman"/>
          <w:i w:val="0"/>
          <w:iCs w:val="0"/>
          <w:color w:val="auto"/>
        </w:rPr>
        <w:t>肾损伤风险评估</w:t>
      </w:r>
      <w:r>
        <w:rPr>
          <w:rFonts w:hint="eastAsia" w:ascii="Times New Roman"/>
          <w:i w:val="0"/>
          <w:iCs w:val="0"/>
          <w:color w:val="auto"/>
          <w:lang w:eastAsia="zh-CN"/>
        </w:rPr>
        <w:t>，</w:t>
      </w:r>
      <w:r>
        <w:rPr>
          <w:rFonts w:hint="eastAsia" w:ascii="Times New Roman"/>
          <w:i w:val="0"/>
          <w:iCs w:val="0"/>
          <w:color w:val="auto"/>
        </w:rPr>
        <w:t>并采取预防性水化处理。对存在过敏史者应提前进行药物过敏评估与处理。</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63" w:name="_Toc772660047"/>
      <w:r>
        <w:rPr>
          <w:rFonts w:hint="eastAsia" w:ascii="Times New Roman"/>
          <w:i w:val="0"/>
          <w:iCs w:val="0"/>
          <w:color w:val="auto"/>
        </w:rPr>
        <w:t>监测与麻醉管理</w:t>
      </w:r>
      <w:bookmarkEnd w:id="63"/>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手术期间应建立连续心电、血压、血氧饱和度监测。一般情况下可在局部麻醉下进行；对焦虑、疼痛敏感或高危患者，可在麻醉科医师指导下给予镇静或全麻，以确保手术安全与患者舒适。</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64" w:name="_Toc263796520"/>
      <w:r>
        <w:rPr>
          <w:rFonts w:hint="eastAsia" w:ascii="Times New Roman"/>
          <w:i w:val="0"/>
          <w:iCs w:val="0"/>
          <w:color w:val="auto"/>
        </w:rPr>
        <w:t>设备检查</w:t>
      </w:r>
      <w:bookmarkEnd w:id="64"/>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eastAsia="宋体"/>
          <w:i w:val="0"/>
          <w:iCs w:val="0"/>
          <w:color w:val="auto"/>
          <w:lang w:eastAsia="zh-CN"/>
        </w:rPr>
      </w:pPr>
      <w:r>
        <w:rPr>
          <w:rFonts w:hint="eastAsia" w:ascii="Times New Roman"/>
          <w:i w:val="0"/>
          <w:iCs w:val="0"/>
          <w:color w:val="auto"/>
        </w:rPr>
        <w:t>术前应完成冠状动脉介入机器人系统的开机检测和功能校验，确认控制单元、执行单元及配套附件运行正常。手术开始前，应按本标准5.5的规定完成术前安全核查</w:t>
      </w:r>
      <w:r>
        <w:rPr>
          <w:rFonts w:hint="eastAsia" w:ascii="Times New Roman"/>
          <w:i w:val="0"/>
          <w:iCs w:val="0"/>
          <w:color w:val="auto"/>
          <w:lang w:eastAsia="zh-CN"/>
        </w:rPr>
        <w:t>。</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bookmarkStart w:id="65" w:name="_Toc1221864232"/>
      <w:r>
        <w:rPr>
          <w:rFonts w:hint="eastAsia" w:ascii="黑体" w:hAnsi="Times New Roman" w:eastAsia="黑体" w:cs="Times New Roman"/>
          <w:i w:val="0"/>
          <w:iCs w:val="0"/>
          <w:color w:val="auto"/>
          <w:kern w:val="0"/>
          <w:szCs w:val="20"/>
        </w:rPr>
        <w:t>术前安全核查</w:t>
      </w:r>
      <w:bookmarkEnd w:id="65"/>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66" w:name="_Toc1633514610"/>
      <w:r>
        <w:rPr>
          <w:rFonts w:hint="eastAsia" w:ascii="Times New Roman"/>
          <w:i w:val="0"/>
          <w:iCs w:val="0"/>
          <w:color w:val="auto"/>
        </w:rPr>
        <w:t>核查组织</w:t>
      </w:r>
      <w:bookmarkEnd w:id="66"/>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术前安全核查应由术者牵头，联合床旁助手、护理人员及相关支持人员共同完成。核查应在患者进入导管室并完成术前准备后进行。</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67" w:name="_Toc1049107022"/>
      <w:r>
        <w:rPr>
          <w:rFonts w:hint="eastAsia" w:ascii="Times New Roman"/>
          <w:i w:val="0"/>
          <w:iCs w:val="0"/>
          <w:color w:val="auto"/>
        </w:rPr>
        <w:t>核查内容</w:t>
      </w:r>
      <w:bookmarkEnd w:id="67"/>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pPr>
      <w:r>
        <w:rPr>
          <w:rFonts w:hint="eastAsia" w:ascii="Times New Roman"/>
          <w:i w:val="0"/>
          <w:iCs w:val="0"/>
          <w:color w:val="auto"/>
        </w:rPr>
        <w:t>术前安全核查应覆盖患者、手术及系统三方面内容。核查内容应包括：</w:t>
      </w:r>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w:t>
      </w:r>
      <w:r>
        <w:rPr>
          <w:rFonts w:hint="eastAsia" w:ascii="Times New Roman"/>
          <w:i w:val="0"/>
          <w:iCs w:val="0"/>
          <w:color w:val="auto"/>
          <w:lang w:eastAsia="zh-CN"/>
        </w:rPr>
        <w:t>—</w:t>
      </w:r>
      <w:r>
        <w:rPr>
          <w:rFonts w:hint="eastAsia" w:ascii="Times New Roman"/>
          <w:i w:val="0"/>
          <w:iCs w:val="0"/>
          <w:color w:val="auto"/>
        </w:rPr>
        <w:t xml:space="preserve"> 患者信息核对：确认患者身份、手术部位及拟实施的操作类型；</w:t>
      </w:r>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w:t>
      </w:r>
      <w:r>
        <w:rPr>
          <w:rFonts w:hint="eastAsia" w:ascii="Times New Roman"/>
          <w:i w:val="0"/>
          <w:iCs w:val="0"/>
          <w:color w:val="auto"/>
          <w:lang w:eastAsia="zh-CN"/>
        </w:rPr>
        <w:t>—</w:t>
      </w:r>
      <w:r>
        <w:rPr>
          <w:rFonts w:hint="eastAsia" w:ascii="Times New Roman"/>
          <w:i w:val="0"/>
          <w:iCs w:val="0"/>
          <w:color w:val="auto"/>
        </w:rPr>
        <w:t xml:space="preserve"> 手术准备核对：确认手术方案、关键操作要点及麻醉方式；</w:t>
      </w:r>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w:t>
      </w:r>
      <w:r>
        <w:rPr>
          <w:rFonts w:hint="eastAsia" w:ascii="Times New Roman"/>
          <w:i w:val="0"/>
          <w:iCs w:val="0"/>
          <w:color w:val="auto"/>
          <w:lang w:eastAsia="zh-CN"/>
        </w:rPr>
        <w:t>—</w:t>
      </w:r>
      <w:r>
        <w:rPr>
          <w:rFonts w:hint="eastAsia" w:ascii="Times New Roman"/>
          <w:i w:val="0"/>
          <w:iCs w:val="0"/>
          <w:color w:val="auto"/>
        </w:rPr>
        <w:t xml:space="preserve"> 系统与设备核对：检查器械、耗材准备情况及</w:t>
      </w:r>
      <w:r>
        <w:rPr>
          <w:rFonts w:hint="eastAsia" w:ascii="Times New Roman"/>
          <w:i w:val="0"/>
          <w:iCs w:val="0"/>
          <w:color w:val="auto"/>
          <w:lang w:eastAsia="zh-CN"/>
        </w:rPr>
        <w:t>冠状动脉介入机器人</w:t>
      </w:r>
      <w:r>
        <w:rPr>
          <w:rFonts w:hint="eastAsia" w:ascii="Times New Roman"/>
          <w:i w:val="0"/>
          <w:iCs w:val="0"/>
          <w:color w:val="auto"/>
        </w:rPr>
        <w:t>系统运行状态；</w:t>
      </w:r>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w:t>
      </w:r>
      <w:r>
        <w:rPr>
          <w:rFonts w:hint="eastAsia" w:ascii="Times New Roman"/>
          <w:i w:val="0"/>
          <w:iCs w:val="0"/>
          <w:color w:val="auto"/>
          <w:lang w:eastAsia="zh-CN"/>
        </w:rPr>
        <w:t>—</w:t>
      </w:r>
      <w:r>
        <w:rPr>
          <w:rFonts w:hint="eastAsia" w:ascii="Times New Roman"/>
          <w:i w:val="0"/>
          <w:iCs w:val="0"/>
          <w:color w:val="auto"/>
        </w:rPr>
        <w:t xml:space="preserve"> 安全保障核对：确认监护设备、应急物品及预案准备情况。</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68" w:name="_Toc1500976884"/>
      <w:r>
        <w:rPr>
          <w:rFonts w:hint="eastAsia" w:ascii="Times New Roman"/>
          <w:i w:val="0"/>
          <w:iCs w:val="0"/>
          <w:color w:val="auto"/>
        </w:rPr>
        <w:t>核查方式</w:t>
      </w:r>
      <w:bookmarkEnd w:id="68"/>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核查应以口头逐项确认或电子化记录的形式完成，由术者最终确认无误后方可启动手术。对发现的异常或缺项应及时整改并记录。</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69" w:name="_Toc428088079"/>
      <w:r>
        <w:rPr>
          <w:rFonts w:hint="eastAsia" w:ascii="Times New Roman"/>
          <w:i w:val="0"/>
          <w:iCs w:val="0"/>
          <w:color w:val="auto"/>
        </w:rPr>
        <w:t>记录与追溯</w:t>
      </w:r>
      <w:bookmarkEnd w:id="69"/>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eastAsia="宋体"/>
          <w:i w:val="0"/>
          <w:iCs w:val="0"/>
          <w:color w:val="auto"/>
        </w:rPr>
      </w:pPr>
      <w:r>
        <w:rPr>
          <w:rFonts w:hint="eastAsia" w:ascii="Times New Roman" w:eastAsia="宋体"/>
          <w:i w:val="0"/>
          <w:iCs w:val="0"/>
          <w:color w:val="auto"/>
        </w:rPr>
        <w:t>核查结果应形成书面或电子记录，纳入病历档案，作为术前准备质量控制的重要依据。医疗机构应建立核查制度和监督机制，确保核查过程真实、完整、可追溯。</w:t>
      </w:r>
    </w:p>
    <w:p>
      <w:pPr>
        <w:pStyle w:val="17"/>
        <w:keepNext w:val="0"/>
        <w:keepLines w:val="0"/>
        <w:pageBreakBefore w:val="0"/>
        <w:numPr>
          <w:ilvl w:val="0"/>
          <w:numId w:val="2"/>
        </w:numPr>
        <w:kinsoku/>
        <w:wordWrap/>
        <w:overflowPunct/>
        <w:topLinePunct w:val="0"/>
        <w:bidi w:val="0"/>
        <w:adjustRightInd/>
        <w:spacing w:before="312" w:beforeLines="100" w:after="312" w:afterLines="100" w:line="240" w:lineRule="auto"/>
        <w:ind w:left="0" w:leftChars="0" w:firstLine="0" w:firstLineChars="0"/>
        <w:textAlignment w:val="auto"/>
        <w:outlineLvl w:val="9"/>
        <w:rPr>
          <w:rFonts w:hint="eastAsia" w:ascii="黑体" w:hAnsi="Times New Roman" w:eastAsia="黑体" w:cs="Times New Roman"/>
          <w:i w:val="0"/>
          <w:iCs w:val="0"/>
          <w:color w:val="auto"/>
          <w:kern w:val="0"/>
          <w:szCs w:val="20"/>
        </w:rPr>
      </w:pPr>
      <w:bookmarkStart w:id="70" w:name="_Toc806126303"/>
      <w:r>
        <w:rPr>
          <w:rFonts w:hint="eastAsia" w:ascii="黑体" w:hAnsi="Times New Roman" w:eastAsia="黑体" w:cs="Times New Roman"/>
          <w:i w:val="0"/>
          <w:iCs w:val="0"/>
          <w:color w:val="auto"/>
          <w:kern w:val="0"/>
          <w:szCs w:val="20"/>
        </w:rPr>
        <w:t>手术实施与安全管理</w:t>
      </w:r>
      <w:bookmarkEnd w:id="70"/>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cs="Times New Roman"/>
          <w:i w:val="0"/>
          <w:iCs w:val="0"/>
          <w:color w:val="auto"/>
          <w:kern w:val="0"/>
          <w:szCs w:val="20"/>
        </w:rPr>
      </w:pPr>
      <w:bookmarkStart w:id="71" w:name="_Toc90445598"/>
      <w:r>
        <w:rPr>
          <w:rFonts w:hint="eastAsia" w:ascii="黑体" w:hAnsi="Times New Roman" w:eastAsia="黑体" w:cs="Times New Roman"/>
          <w:i w:val="0"/>
          <w:iCs w:val="0"/>
          <w:color w:val="auto"/>
          <w:kern w:val="0"/>
          <w:szCs w:val="20"/>
        </w:rPr>
        <w:t>系统准备与</w:t>
      </w:r>
      <w:r>
        <w:rPr>
          <w:rFonts w:hint="eastAsia" w:ascii="黑体" w:hAnsi="Times New Roman" w:eastAsia="黑体" w:cs="Times New Roman"/>
          <w:i w:val="0"/>
          <w:iCs w:val="0"/>
          <w:color w:val="auto"/>
          <w:kern w:val="0"/>
          <w:szCs w:val="20"/>
          <w:lang w:val="en-US" w:eastAsia="zh-CN"/>
        </w:rPr>
        <w:t>功能校验</w:t>
      </w:r>
      <w:bookmarkEnd w:id="71"/>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72" w:name="_Toc1848227157"/>
      <w:r>
        <w:rPr>
          <w:rFonts w:hint="eastAsia" w:ascii="Times New Roman"/>
          <w:i w:val="0"/>
          <w:iCs w:val="0"/>
          <w:color w:val="auto"/>
        </w:rPr>
        <w:t>环境与设备检查</w:t>
      </w:r>
      <w:bookmarkEnd w:id="72"/>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手术开始前，应确认导管室环境符合介入手术要求，影像、监护及造影系统运行正常。</w:t>
      </w:r>
      <w:r>
        <w:rPr>
          <w:rFonts w:hint="eastAsia" w:ascii="Times New Roman"/>
          <w:i w:val="0"/>
          <w:iCs w:val="0"/>
          <w:color w:val="auto"/>
          <w:lang w:eastAsia="zh-CN"/>
        </w:rPr>
        <w:t>冠状动脉介入机器人</w:t>
      </w:r>
      <w:r>
        <w:rPr>
          <w:rFonts w:hint="eastAsia" w:ascii="Times New Roman"/>
          <w:i w:val="0"/>
          <w:iCs w:val="0"/>
          <w:color w:val="auto"/>
        </w:rPr>
        <w:t>系统的控制单元、执行单元及配套附件应完成开机自检，电源、接地和通信连接应稳定可靠。</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73" w:name="_Toc1950357491"/>
      <w:r>
        <w:rPr>
          <w:rFonts w:hint="eastAsia" w:ascii="Times New Roman"/>
          <w:i w:val="0"/>
          <w:iCs w:val="0"/>
          <w:color w:val="auto"/>
        </w:rPr>
        <w:t>系统安装与校准</w:t>
      </w:r>
      <w:bookmarkEnd w:id="73"/>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eastAsia="宋体"/>
          <w:i w:val="0"/>
          <w:iCs w:val="0"/>
          <w:color w:val="auto"/>
        </w:rPr>
      </w:pPr>
      <w:r>
        <w:rPr>
          <w:rFonts w:hint="eastAsia" w:ascii="Times New Roman" w:eastAsia="宋体"/>
          <w:i w:val="0"/>
          <w:iCs w:val="0"/>
          <w:color w:val="auto"/>
        </w:rPr>
        <w:t>执行单元应按制造商技术文件固定于导管床导轨或稳固支架，调整位置以避免与影像设备干扰。术前应完成机械臂复位、运动范围校准及推送精度检测，确保系统运行参数符合安全标准。</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74" w:name="_Toc467963429"/>
      <w:r>
        <w:rPr>
          <w:rFonts w:hint="eastAsia" w:ascii="Times New Roman"/>
          <w:i w:val="0"/>
          <w:iCs w:val="0"/>
          <w:color w:val="auto"/>
        </w:rPr>
        <w:t>耗材装载与兼容核对</w:t>
      </w:r>
      <w:bookmarkEnd w:id="74"/>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导引导管、导丝、球囊及支架系统等耗材应与机器人无菌操作盒规格兼容。装载前应核对型号并检查导管通畅性。所有一次性无菌组件应正确安装防护罩并保持密闭状态，耗材配置应符合制造商技术文件和无菌物品管理要求。</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75" w:name="_Toc976235889"/>
      <w:r>
        <w:rPr>
          <w:rFonts w:hint="eastAsia" w:ascii="Times New Roman"/>
          <w:i w:val="0"/>
          <w:iCs w:val="0"/>
          <w:color w:val="auto"/>
        </w:rPr>
        <w:t>通信与</w:t>
      </w:r>
      <w:r>
        <w:rPr>
          <w:rFonts w:hint="eastAsia" w:ascii="Times New Roman"/>
          <w:i w:val="0"/>
          <w:iCs w:val="0"/>
          <w:color w:val="auto"/>
          <w:lang w:val="en-US" w:eastAsia="zh-CN"/>
        </w:rPr>
        <w:t>影像</w:t>
      </w:r>
      <w:r>
        <w:rPr>
          <w:rFonts w:hint="eastAsia" w:ascii="Times New Roman"/>
          <w:i w:val="0"/>
          <w:iCs w:val="0"/>
          <w:color w:val="auto"/>
        </w:rPr>
        <w:t>同步</w:t>
      </w:r>
      <w:bookmarkEnd w:id="75"/>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术前应验证控制</w:t>
      </w:r>
      <w:r>
        <w:rPr>
          <w:rFonts w:hint="eastAsia" w:ascii="Times New Roman"/>
          <w:i w:val="0"/>
          <w:iCs w:val="0"/>
          <w:color w:val="auto"/>
          <w:lang w:val="en-US" w:eastAsia="zh-CN"/>
        </w:rPr>
        <w:t>单元</w:t>
      </w:r>
      <w:r>
        <w:rPr>
          <w:rFonts w:hint="eastAsia" w:ascii="Times New Roman"/>
          <w:i w:val="0"/>
          <w:iCs w:val="0"/>
          <w:color w:val="auto"/>
        </w:rPr>
        <w:t>与执行单元通信连接正常，显示终端与影像系统同步无明显延迟。</w:t>
      </w:r>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0" w:firstLineChars="0"/>
        <w:textAlignment w:val="auto"/>
        <w:rPr>
          <w:rFonts w:hint="eastAsia" w:ascii="Times New Roman"/>
          <w:i w:val="0"/>
          <w:iCs w:val="0"/>
          <w:color w:val="auto"/>
        </w:rPr>
      </w:pPr>
      <w:r>
        <w:rPr>
          <w:rFonts w:hint="eastAsia" w:ascii="Times New Roman"/>
          <w:i w:val="0"/>
          <w:iCs w:val="0"/>
          <w:color w:val="auto"/>
        </w:rPr>
        <w:t>阻力反馈、设备状态及造影影像应实时显示，确保术者可准确掌握导管与导丝运动情况。</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76" w:name="_Toc821523343"/>
      <w:r>
        <w:rPr>
          <w:rFonts w:hint="eastAsia" w:ascii="Times New Roman"/>
          <w:i w:val="0"/>
          <w:iCs w:val="0"/>
          <w:color w:val="auto"/>
        </w:rPr>
        <w:t>启动条件确认</w:t>
      </w:r>
      <w:bookmarkEnd w:id="76"/>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eastAsia="宋体"/>
          <w:i w:val="0"/>
          <w:iCs w:val="0"/>
          <w:color w:val="auto"/>
          <w:lang w:eastAsia="zh-CN"/>
        </w:rPr>
      </w:pPr>
      <w:r>
        <w:rPr>
          <w:rFonts w:hint="eastAsia" w:ascii="Times New Roman" w:eastAsia="宋体"/>
          <w:i w:val="0"/>
          <w:iCs w:val="0"/>
          <w:color w:val="auto"/>
        </w:rPr>
        <w:t>手术启动前，应完成5.5术前安全核查并确认系统状态、人员到位及应急准备就绪</w:t>
      </w:r>
      <w:r>
        <w:rPr>
          <w:rFonts w:hint="eastAsia" w:ascii="Times New Roman" w:eastAsia="宋体"/>
          <w:i w:val="0"/>
          <w:iCs w:val="0"/>
          <w:color w:val="auto"/>
          <w:lang w:eastAsia="zh-CN"/>
        </w:rPr>
        <w:t>。</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cs="Times New Roman"/>
          <w:i w:val="0"/>
          <w:iCs w:val="0"/>
          <w:color w:val="auto"/>
          <w:kern w:val="0"/>
          <w:szCs w:val="20"/>
        </w:rPr>
      </w:pPr>
      <w:bookmarkStart w:id="77" w:name="_Toc1170459238"/>
      <w:r>
        <w:rPr>
          <w:rFonts w:hint="eastAsia" w:ascii="黑体" w:hAnsi="Times New Roman" w:eastAsia="黑体" w:cs="Times New Roman"/>
          <w:i w:val="0"/>
          <w:iCs w:val="0"/>
          <w:color w:val="auto"/>
          <w:kern w:val="0"/>
          <w:szCs w:val="20"/>
        </w:rPr>
        <w:t>手术操作与过程控制</w:t>
      </w:r>
      <w:bookmarkEnd w:id="77"/>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78" w:name="_Toc958206546"/>
      <w:r>
        <w:rPr>
          <w:rFonts w:hint="eastAsia" w:ascii="Times New Roman"/>
          <w:i w:val="0"/>
          <w:iCs w:val="0"/>
          <w:color w:val="auto"/>
        </w:rPr>
        <w:t>导丝操作原则</w:t>
      </w:r>
      <w:bookmarkEnd w:id="78"/>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术者应通过控制台远程操控导丝完成病变通过与定位。导丝推进与旋转应在影像引导下进行，操作应平稳、可控，不宜快速或过度用力。</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当出现异常阻力、导丝尖端偏离预定路径或阻力反馈异常时，应立即暂停操作，重新定位或更换导丝后再行推进。导丝不得强行穿越病变段，以防形成假腔或引起血管穿孔。</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79" w:name="_Toc597549769"/>
      <w:r>
        <w:rPr>
          <w:rFonts w:hint="eastAsia" w:ascii="Times New Roman"/>
          <w:i w:val="0"/>
          <w:iCs w:val="0"/>
          <w:color w:val="auto"/>
        </w:rPr>
        <w:t>导管推进与定位</w:t>
      </w:r>
      <w:bookmarkEnd w:id="79"/>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导管推进应在导丝位置稳定后进行。导管移动过程中应保持影像实时监测，防止导管头端对血管壁产生过度支撑或偏移。</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造影操作应在导管位置确认后实施，造影压力与剂量应符合相关指南和制造商技术文件的要求，防止高压注射引起血管损伤或夹层。</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80" w:name="_Toc1385434211"/>
      <w:r>
        <w:rPr>
          <w:rFonts w:hint="eastAsia" w:ascii="Times New Roman"/>
          <w:i w:val="0"/>
          <w:iCs w:val="0"/>
          <w:color w:val="auto"/>
        </w:rPr>
        <w:t>术中影像确认与优化</w:t>
      </w:r>
      <w:bookmarkEnd w:id="80"/>
    </w:p>
    <w:p>
      <w:pPr>
        <w:pStyle w:val="18"/>
        <w:keepNext w:val="0"/>
        <w:keepLines w:val="0"/>
        <w:pageBreakBefore w:val="0"/>
        <w:tabs>
          <w:tab w:val="center" w:pos="4201"/>
          <w:tab w:val="right" w:leader="dot" w:pos="9298"/>
        </w:tabs>
        <w:kinsoku/>
        <w:wordWrap/>
        <w:overflowPunct/>
        <w:topLinePunct w:val="0"/>
        <w:bidi w:val="0"/>
        <w:adjustRightInd/>
        <w:spacing w:line="360" w:lineRule="exact"/>
        <w:ind w:left="0" w:leftChars="0" w:firstLine="420" w:firstLineChars="200"/>
        <w:textAlignment w:val="auto"/>
        <w:rPr>
          <w:rFonts w:hint="eastAsia" w:ascii="Times New Roman"/>
          <w:i w:val="0"/>
          <w:iCs w:val="0"/>
          <w:color w:val="auto"/>
        </w:rPr>
      </w:pPr>
      <w:r>
        <w:rPr>
          <w:rFonts w:hint="eastAsia" w:ascii="Times New Roman"/>
          <w:i w:val="0"/>
          <w:iCs w:val="0"/>
          <w:color w:val="auto"/>
        </w:rPr>
        <w:t>根据病变复杂程度，可在支架选择与释放前后使用腔内影像（</w:t>
      </w:r>
      <w:r>
        <w:rPr>
          <w:rFonts w:hint="eastAsia" w:ascii="Times New Roman"/>
          <w:i w:val="0"/>
          <w:iCs w:val="0"/>
          <w:color w:val="auto"/>
          <w:lang w:val="en-US" w:eastAsia="zh-CN"/>
        </w:rPr>
        <w:t>血管内超声</w:t>
      </w:r>
      <w:r>
        <w:rPr>
          <w:rFonts w:hint="eastAsia" w:ascii="Times New Roman"/>
          <w:i w:val="0"/>
          <w:iCs w:val="0"/>
          <w:color w:val="auto"/>
        </w:rPr>
        <w:t>IVUS或</w:t>
      </w:r>
      <w:r>
        <w:rPr>
          <w:rFonts w:hint="eastAsia" w:ascii="Times New Roman"/>
          <w:i w:val="0"/>
          <w:iCs w:val="0"/>
          <w:color w:val="auto"/>
          <w:lang w:val="en-US" w:eastAsia="zh-CN"/>
        </w:rPr>
        <w:t>光学相干断层扫描</w:t>
      </w:r>
      <w:r>
        <w:rPr>
          <w:rFonts w:hint="eastAsia" w:ascii="Times New Roman"/>
          <w:i w:val="0"/>
          <w:iCs w:val="0"/>
          <w:color w:val="auto"/>
        </w:rPr>
        <w:t>OCT）进行病变评估与优化确认。腔内影像应由床旁医生手动操作，设备与机器人系统独立运行；影像结果应用于辅助判定病变长度与直径、支架位置与扩张充分性。</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81" w:name="_Toc1975083503"/>
      <w:r>
        <w:rPr>
          <w:rFonts w:hint="eastAsia" w:ascii="Times New Roman"/>
          <w:i w:val="0"/>
          <w:iCs w:val="0"/>
          <w:color w:val="auto"/>
        </w:rPr>
        <w:t>过程安全监控</w:t>
      </w:r>
      <w:bookmarkEnd w:id="81"/>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术中应持续监测系统阻力反馈、机械运动及通信状态。出现异常报警、运动滞后或通信延迟时，应立即暂停操作并进行系统检查。</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在系统故障无法及时排除时，应中止机器人操作，由床旁助手协助术者切换至手动操作模式，确保手术连续性与患者安全。</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82" w:name="_Toc1573703242"/>
      <w:r>
        <w:rPr>
          <w:rFonts w:hint="eastAsia" w:ascii="Times New Roman"/>
          <w:i w:val="0"/>
          <w:iCs w:val="0"/>
          <w:color w:val="auto"/>
        </w:rPr>
        <w:t>团队协作与信息沟通</w:t>
      </w:r>
      <w:bookmarkEnd w:id="82"/>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术者、助手及护理人员应保持全过程沟通，术者应明确发出口令，助手应及时反馈造影状态、导管位置及患者反应。</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当出现设备异常或患者生命体征变化时，应立即报告并按应急预案处置。</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cs="Times New Roman"/>
          <w:i w:val="0"/>
          <w:iCs w:val="0"/>
          <w:color w:val="auto"/>
          <w:kern w:val="0"/>
          <w:szCs w:val="20"/>
        </w:rPr>
      </w:pPr>
      <w:bookmarkStart w:id="83" w:name="_Toc821791842"/>
      <w:r>
        <w:rPr>
          <w:rFonts w:hint="eastAsia" w:ascii="黑体" w:hAnsi="Times New Roman" w:cs="Times New Roman"/>
          <w:i w:val="0"/>
          <w:iCs w:val="0"/>
          <w:color w:val="auto"/>
          <w:kern w:val="0"/>
          <w:szCs w:val="20"/>
          <w:lang w:val="en-US" w:eastAsia="zh-CN"/>
        </w:rPr>
        <w:t>系统</w:t>
      </w:r>
      <w:r>
        <w:rPr>
          <w:rFonts w:hint="eastAsia" w:ascii="黑体" w:hAnsi="Times New Roman" w:cs="Times New Roman"/>
          <w:i w:val="0"/>
          <w:iCs w:val="0"/>
          <w:color w:val="auto"/>
          <w:kern w:val="0"/>
          <w:szCs w:val="20"/>
        </w:rPr>
        <w:t>安全监控与异常处理</w:t>
      </w:r>
      <w:bookmarkEnd w:id="83"/>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84" w:name="_Toc1388154637"/>
      <w:r>
        <w:rPr>
          <w:rFonts w:hint="eastAsia" w:ascii="Times New Roman"/>
          <w:i w:val="0"/>
          <w:iCs w:val="0"/>
          <w:color w:val="auto"/>
        </w:rPr>
        <w:t>一般安全要求</w:t>
      </w:r>
      <w:bookmarkEnd w:id="84"/>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术中应持续监测患者生命体征及冠状动脉介入机器人系统运行状态。</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导管、导丝及附件的使用应符合操作规范，不得超出设备性能范围。</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当影像反馈、阻力变化或报警信号异常时，应立即暂停操作，确认安全后方可继续。</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患者因手术操作引发的医学并发症处置应符合6.4的规定。</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85" w:name="_Toc452643051"/>
      <w:r>
        <w:rPr>
          <w:rFonts w:hint="eastAsia" w:ascii="Times New Roman"/>
          <w:i w:val="0"/>
          <w:iCs w:val="0"/>
          <w:color w:val="auto"/>
        </w:rPr>
        <w:t>设备异常处理</w:t>
      </w:r>
      <w:bookmarkEnd w:id="85"/>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当系统出现通信中断、运动滞后或报警提示时，应暂停机器人操作并检查连接、电源及系统状态。</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如短时间内无法恢复正常，应中止机器人操作并由术者实施人工接管，以确保手术安全与连续性。</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86" w:name="_Toc1184680483"/>
      <w:r>
        <w:rPr>
          <w:rFonts w:hint="eastAsia" w:ascii="Times New Roman"/>
          <w:i w:val="0"/>
          <w:iCs w:val="0"/>
          <w:color w:val="auto"/>
        </w:rPr>
        <w:t>患者相关异常处理</w:t>
      </w:r>
      <w:bookmarkEnd w:id="86"/>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当患者出现血压下降、心律失常或血流动力学不稳定时，应暂停机器人操作，保持导管与导丝稳定，并根据病情采取相应医疗处置。</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必要时可启动循环支持装置或中止手术，防止进一步风险。</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87" w:name="_Toc1603986444"/>
      <w:r>
        <w:rPr>
          <w:rFonts w:hint="eastAsia" w:ascii="Times New Roman"/>
          <w:i w:val="0"/>
          <w:iCs w:val="0"/>
          <w:color w:val="auto"/>
        </w:rPr>
        <w:t>紧急中转与应急响应</w:t>
      </w:r>
      <w:bookmarkEnd w:id="87"/>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当机器人系统失效或患者发生危及生命的情况时，应立即中转人工操作。</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床旁助手应在术者指令下快速解除机器人与导管连接，术者接管操作，确保手术安全。</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88" w:name="_Toc837943517"/>
      <w:r>
        <w:rPr>
          <w:rFonts w:hint="eastAsia" w:ascii="Times New Roman"/>
          <w:i w:val="0"/>
          <w:iCs w:val="0"/>
          <w:color w:val="auto"/>
        </w:rPr>
        <w:t>异常记录与追溯</w:t>
      </w:r>
      <w:bookmarkEnd w:id="88"/>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术中发生的设备异常、通信故障及患者相关事件均应详细记录。</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医疗机构应建立异常事件追溯机制，对原因进行分析和整改，完善设备维护与操作管理体系。</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bookmarkStart w:id="89" w:name="_Toc118933193"/>
      <w:r>
        <w:rPr>
          <w:rFonts w:hint="eastAsia" w:ascii="黑体" w:hAnsi="Times New Roman" w:eastAsia="黑体" w:cs="Times New Roman"/>
          <w:i w:val="0"/>
          <w:iCs w:val="0"/>
          <w:color w:val="auto"/>
          <w:kern w:val="0"/>
          <w:szCs w:val="20"/>
          <w:lang w:val="en-US" w:eastAsia="zh-CN"/>
        </w:rPr>
        <w:t>患者</w:t>
      </w:r>
      <w:r>
        <w:rPr>
          <w:rFonts w:hint="eastAsia" w:ascii="黑体" w:hAnsi="Times New Roman" w:eastAsia="黑体" w:cs="Times New Roman"/>
          <w:i w:val="0"/>
          <w:iCs w:val="0"/>
          <w:color w:val="auto"/>
          <w:kern w:val="0"/>
          <w:szCs w:val="20"/>
        </w:rPr>
        <w:t>并发症处置</w:t>
      </w:r>
      <w:bookmarkEnd w:id="89"/>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90" w:name="_Toc1750383041"/>
      <w:r>
        <w:rPr>
          <w:rFonts w:hint="eastAsia" w:ascii="Times New Roman"/>
          <w:i w:val="0"/>
          <w:iCs w:val="0"/>
          <w:color w:val="auto"/>
        </w:rPr>
        <w:t>一般原则</w:t>
      </w:r>
      <w:bookmarkEnd w:id="90"/>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医疗机构应制定冠状动脉介入机器人手术的并发症处置制度，明确处置流程和职责分工。</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术中一旦出现并发症迹象，应立即暂停操作，稳定患者病情，并由术者组织相关专业人员实施相应处置。</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并发症的处理应遵循临床指南要求，优先保障患者安全。</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91" w:name="_Toc309289834"/>
      <w:r>
        <w:rPr>
          <w:rFonts w:hint="eastAsia" w:ascii="Times New Roman"/>
          <w:i w:val="0"/>
          <w:iCs w:val="0"/>
          <w:color w:val="auto"/>
        </w:rPr>
        <w:t>常见并发症处置要求</w:t>
      </w:r>
      <w:bookmarkEnd w:id="91"/>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冠状动脉介入机器人手术中常见并发症包括导丝缠绕、血管夹层、冠状动脉穿孔、无复流或慢血流、支架</w:t>
      </w:r>
      <w:r>
        <w:rPr>
          <w:rFonts w:hint="eastAsia" w:ascii="Times New Roman" w:hAnsi="Times New Roman" w:cs="Times New Roman"/>
          <w:i w:val="0"/>
          <w:iCs w:val="0"/>
          <w:color w:val="auto"/>
          <w:kern w:val="0"/>
          <w:sz w:val="21"/>
          <w:szCs w:val="20"/>
          <w:lang w:val="en-US" w:eastAsia="zh-CN" w:bidi="ar-SA"/>
        </w:rPr>
        <w:t>脱载</w:t>
      </w:r>
      <w:r>
        <w:rPr>
          <w:rFonts w:hint="eastAsia" w:ascii="Times New Roman" w:hAnsi="Times New Roman" w:eastAsia="宋体" w:cs="Times New Roman"/>
          <w:i w:val="0"/>
          <w:iCs w:val="0"/>
          <w:color w:val="auto"/>
          <w:kern w:val="0"/>
          <w:sz w:val="21"/>
          <w:szCs w:val="20"/>
          <w:lang w:val="en-US" w:eastAsia="zh-CN" w:bidi="ar-SA"/>
        </w:rPr>
        <w:t>及急性血栓形成等。</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医疗机构应建立相应的应急预案，确保在并发症发生时具备立即转换为人工操作及实施药物或机械性干预的能力。</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严重并发症应在多学科协作下完成救治。</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92" w:name="_Toc1323814298"/>
      <w:r>
        <w:rPr>
          <w:rFonts w:hint="eastAsia" w:ascii="Times New Roman"/>
          <w:i w:val="0"/>
          <w:iCs w:val="0"/>
          <w:color w:val="auto"/>
        </w:rPr>
        <w:t>危重事件应急管理</w:t>
      </w:r>
      <w:bookmarkEnd w:id="92"/>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当患者出现严重心律失常、心脏骤停、心包填塞或其他危及生命的情况时，应立即中止机器人操作，启动急救响应程序，并按相关急救规范进行救治。</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必要时应启用循环支持系统或紧急外科干预。</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rPr>
      </w:pPr>
      <w:bookmarkStart w:id="93" w:name="_Toc1416323566"/>
      <w:r>
        <w:rPr>
          <w:rFonts w:hint="eastAsia" w:ascii="Times New Roman"/>
          <w:i w:val="0"/>
          <w:iCs w:val="0"/>
          <w:color w:val="auto"/>
        </w:rPr>
        <w:t>事件记录与分析</w:t>
      </w:r>
      <w:bookmarkEnd w:id="93"/>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所有并发症事件应完整记录发生时间、表现、处理措施及结果。</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医疗机构应定期汇总并发症发生情况，开展原因分析与质量评估，形成改进措施并纳入持续质量管理体系。</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cs="Times New Roman"/>
          <w:b w:val="0"/>
          <w:bCs w:val="0"/>
          <w:kern w:val="0"/>
          <w:szCs w:val="20"/>
        </w:rPr>
      </w:pPr>
      <w:bookmarkStart w:id="94" w:name="_Toc1441430414"/>
      <w:r>
        <w:rPr>
          <w:rFonts w:hint="eastAsia" w:ascii="黑体" w:hAnsi="Times New Roman" w:cs="Times New Roman"/>
          <w:b w:val="0"/>
          <w:bCs w:val="0"/>
          <w:kern w:val="0"/>
          <w:szCs w:val="20"/>
        </w:rPr>
        <w:t>术毕收尾与交接</w:t>
      </w:r>
      <w:bookmarkEnd w:id="94"/>
    </w:p>
    <w:p>
      <w:pPr>
        <w:pStyle w:val="23"/>
        <w:keepNext w:val="0"/>
        <w:keepLines w:val="0"/>
        <w:widowControl/>
        <w:numPr>
          <w:ilvl w:val="2"/>
          <w:numId w:val="2"/>
        </w:numPr>
        <w:suppressLineNumbers w:val="0"/>
        <w:spacing w:before="156" w:beforeLines="50" w:beforeAutospacing="1" w:after="156" w:afterLines="50" w:afterAutospacing="1"/>
        <w:ind w:left="4" w:right="0" w:hanging="4"/>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手术结束后，应按制造商技术文件完成系统关闭与复位。</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保存操作日志与影像记录；对接触部件进行清洁、消毒或更换，一次性组件按医疗废物管理规定处置。</w:t>
      </w:r>
    </w:p>
    <w:p>
      <w:pPr>
        <w:pStyle w:val="37"/>
        <w:keepNext w:val="0"/>
        <w:keepLines w:val="0"/>
        <w:pageBreakBefore w:val="0"/>
        <w:numPr>
          <w:ilvl w:val="3"/>
          <w:numId w:val="2"/>
        </w:numPr>
        <w:kinsoku/>
        <w:wordWrap/>
        <w:overflowPunct/>
        <w:topLinePunct w:val="0"/>
        <w:bidi w:val="0"/>
        <w:adjustRightInd/>
        <w:spacing w:before="156" w:beforeLines="50" w:after="156" w:afterLines="50" w:line="360" w:lineRule="exact"/>
        <w:ind w:left="0" w:leftChars="0" w:firstLine="0" w:firstLineChars="0"/>
        <w:textAlignment w:val="auto"/>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相关运行与手术记录应提交至质量管理系统用于追溯与评估。</w:t>
      </w:r>
    </w:p>
    <w:p>
      <w:pPr>
        <w:pStyle w:val="17"/>
        <w:keepNext w:val="0"/>
        <w:keepLines w:val="0"/>
        <w:pageBreakBefore w:val="0"/>
        <w:numPr>
          <w:ilvl w:val="0"/>
          <w:numId w:val="2"/>
        </w:numPr>
        <w:kinsoku/>
        <w:wordWrap/>
        <w:overflowPunct/>
        <w:topLinePunct w:val="0"/>
        <w:bidi w:val="0"/>
        <w:adjustRightInd/>
        <w:spacing w:before="312" w:beforeLines="100" w:after="312" w:afterLines="100" w:line="240" w:lineRule="auto"/>
        <w:ind w:left="0" w:leftChars="0" w:firstLine="0" w:firstLineChars="0"/>
        <w:textAlignment w:val="auto"/>
        <w:outlineLvl w:val="9"/>
        <w:rPr>
          <w:rFonts w:hint="eastAsia" w:ascii="黑体" w:hAnsi="Times New Roman" w:eastAsia="黑体" w:cs="Times New Roman"/>
          <w:i w:val="0"/>
          <w:iCs w:val="0"/>
          <w:color w:val="auto"/>
          <w:kern w:val="0"/>
          <w:szCs w:val="20"/>
          <w:lang w:val="en-US" w:eastAsia="zh-CN"/>
        </w:rPr>
      </w:pPr>
      <w:bookmarkStart w:id="95" w:name="_Toc357946291"/>
      <w:r>
        <w:rPr>
          <w:rFonts w:hint="eastAsia" w:ascii="黑体" w:hAnsi="Times New Roman" w:eastAsia="黑体" w:cs="Times New Roman"/>
          <w:i w:val="0"/>
          <w:iCs w:val="0"/>
          <w:color w:val="auto"/>
          <w:kern w:val="0"/>
          <w:szCs w:val="20"/>
        </w:rPr>
        <w:t>术后管理</w:t>
      </w:r>
      <w:bookmarkEnd w:id="95"/>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lang w:val="en-US" w:eastAsia="zh-CN"/>
        </w:rPr>
      </w:pPr>
      <w:bookmarkStart w:id="96" w:name="_Toc901617590"/>
      <w:r>
        <w:rPr>
          <w:rFonts w:hint="eastAsia" w:ascii="黑体" w:hAnsi="Times New Roman" w:eastAsia="黑体" w:cs="Times New Roman"/>
          <w:i w:val="0"/>
          <w:iCs w:val="0"/>
          <w:color w:val="auto"/>
          <w:kern w:val="0"/>
          <w:szCs w:val="20"/>
        </w:rPr>
        <w:t>一般要求</w:t>
      </w:r>
      <w:bookmarkEnd w:id="96"/>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after="156" w:afterLines="50" w:line="360" w:lineRule="exact"/>
        <w:ind w:leftChars="0" w:firstLine="420" w:firstLineChars="200"/>
        <w:textAlignment w:val="auto"/>
        <w:outlineLvl w:val="2"/>
        <w:rPr>
          <w:rFonts w:hint="eastAsia" w:ascii="Times New Roman" w:hAnsi="Times New Roman" w:eastAsia="宋体" w:cs="Times New Roman"/>
          <w:i w:val="0"/>
          <w:iCs w:val="0"/>
          <w:color w:val="auto"/>
          <w:kern w:val="0"/>
          <w:sz w:val="21"/>
          <w:szCs w:val="20"/>
          <w:lang w:val="en-US" w:eastAsia="zh-CN" w:bidi="ar-SA"/>
        </w:rPr>
      </w:pPr>
      <w:bookmarkStart w:id="97" w:name="_Toc842221898"/>
      <w:r>
        <w:rPr>
          <w:rFonts w:hint="eastAsia" w:ascii="Times New Roman" w:hAnsi="Times New Roman" w:eastAsia="宋体" w:cs="Times New Roman"/>
          <w:i w:val="0"/>
          <w:iCs w:val="0"/>
          <w:color w:val="auto"/>
          <w:kern w:val="0"/>
          <w:sz w:val="21"/>
          <w:szCs w:val="20"/>
          <w:lang w:val="en-US" w:eastAsia="zh-CN" w:bidi="ar-SA"/>
        </w:rPr>
        <w:t>冠状动脉介入机器人手术完成后，术后患者管理应符合现行PCI治疗相关临床指南的规定。本章仅规定与机器人辅助操作直接相关的特殊管理要求。</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lang w:val="en-US" w:eastAsia="zh-CN"/>
        </w:rPr>
      </w:pPr>
      <w:r>
        <w:rPr>
          <w:rFonts w:hint="eastAsia" w:ascii="黑体" w:hAnsi="Times New Roman" w:eastAsia="黑体" w:cs="Times New Roman"/>
          <w:i w:val="0"/>
          <w:iCs w:val="0"/>
          <w:color w:val="auto"/>
          <w:kern w:val="0"/>
          <w:szCs w:val="20"/>
          <w:lang w:val="en-US" w:eastAsia="zh-CN"/>
        </w:rPr>
        <w:t>术后</w:t>
      </w:r>
      <w:r>
        <w:rPr>
          <w:rFonts w:hint="eastAsia" w:ascii="黑体" w:hAnsi="Times New Roman" w:eastAsia="黑体" w:cs="Times New Roman"/>
          <w:i w:val="0"/>
          <w:iCs w:val="0"/>
          <w:color w:val="auto"/>
          <w:kern w:val="0"/>
          <w:szCs w:val="20"/>
        </w:rPr>
        <w:t>监测</w:t>
      </w:r>
      <w:bookmarkEnd w:id="97"/>
      <w:bookmarkStart w:id="98" w:name="_Toc1345436836"/>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lang w:val="en-US" w:eastAsia="zh-CN"/>
        </w:rPr>
      </w:pPr>
      <w:r>
        <w:rPr>
          <w:rFonts w:hint="eastAsia" w:ascii="Times New Roman"/>
          <w:i w:val="0"/>
          <w:iCs w:val="0"/>
          <w:color w:val="auto"/>
          <w:lang w:val="en-US" w:eastAsia="zh-CN"/>
        </w:rPr>
        <w:t>穿刺部位及血流动力学监测</w:t>
      </w:r>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after="156" w:afterLines="50" w:line="360" w:lineRule="exact"/>
        <w:ind w:leftChars="0" w:firstLine="420" w:firstLineChars="200"/>
        <w:textAlignment w:val="auto"/>
        <w:outlineLvl w:val="5"/>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术后患者返回病房后，应按以下频次进行生命体征监测：术后0～2小时：每15分钟监测一次心率、血压、血氧饱和度；术后2～6小时：每小时监测一次；术后6小时后：病情稳定者可调整为每4小时一次，至术后24小时。</w:t>
      </w:r>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after="156" w:afterLines="50" w:line="360" w:lineRule="exact"/>
        <w:ind w:leftChars="0" w:firstLine="420" w:firstLineChars="200"/>
        <w:textAlignment w:val="auto"/>
        <w:outlineLvl w:val="5"/>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穿刺部位应在术后返回病房即刻、30分钟、1小时、2小时各观察一次，重点评估有无渗血、血肿、皮下肿胀及肢端血运障碍；此后每2小时观察一次至术后12小时。出现明显出血或肢体灌注减弱时，应立即采取止血措施或请血管外科会诊。</w:t>
      </w:r>
    </w:p>
    <w:bookmarkEnd w:id="98"/>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lang w:val="en-US" w:eastAsia="zh-CN"/>
        </w:rPr>
      </w:pPr>
      <w:bookmarkStart w:id="99" w:name="_Toc1901583389"/>
      <w:r>
        <w:rPr>
          <w:rFonts w:hint="eastAsia" w:ascii="Times New Roman"/>
          <w:i w:val="0"/>
          <w:iCs w:val="0"/>
          <w:color w:val="auto"/>
          <w:lang w:val="en-US" w:eastAsia="zh-CN"/>
        </w:rPr>
        <w:t>术后辅助检查</w:t>
      </w:r>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beforeAutospacing="0" w:after="156" w:afterLines="50" w:afterAutospacing="0" w:line="360" w:lineRule="exact"/>
        <w:ind w:leftChars="0" w:firstLine="420" w:firstLineChars="200"/>
        <w:textAlignment w:val="auto"/>
        <w:outlineLvl w:val="5"/>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心电图：术后即刻复查一次，留存基线记录；术后6～12小时再次复查，评估有无新发心律失常或缺血改变；此后如患者出现胸痛、胸闷、心悸等症状，应随时复查；心肌损伤标志物：于术后6～12小时复查肌钙蛋白（推荐高敏肌钙蛋白）及CK-MB；如结果升高或临床有疑虑，应于术后12～24小时再次复查以动态评估趋势；术后次日晨同步复查血常规；必要时复查床旁超声，评估心脏功能情况。</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outlineLvl w:val="2"/>
        <w:rPr>
          <w:rFonts w:hint="eastAsia" w:ascii="Times New Roman"/>
          <w:i w:val="0"/>
          <w:iCs w:val="0"/>
          <w:color w:val="auto"/>
          <w:lang w:val="en-US" w:eastAsia="zh-CN"/>
        </w:rPr>
      </w:pPr>
      <w:r>
        <w:rPr>
          <w:rFonts w:hint="eastAsia" w:ascii="Times New Roman"/>
          <w:i w:val="0"/>
          <w:iCs w:val="0"/>
          <w:color w:val="auto"/>
          <w:lang w:val="en-US" w:eastAsia="zh-CN"/>
        </w:rPr>
        <w:t>术后肾功能监测</w:t>
      </w:r>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beforeAutospacing="0" w:after="156" w:afterLines="50" w:afterAutospacing="0" w:line="360" w:lineRule="exact"/>
        <w:ind w:leftChars="0" w:firstLine="420" w:firstLineChars="200"/>
        <w:textAlignment w:val="auto"/>
        <w:outlineLvl w:val="5"/>
        <w:rPr>
          <w:rFonts w:hint="eastAsia"/>
          <w:lang w:val="en-US" w:eastAsia="zh-CN"/>
        </w:rPr>
      </w:pPr>
      <w:r>
        <w:rPr>
          <w:rFonts w:hint="eastAsia" w:ascii="Times New Roman" w:hAnsi="Times New Roman" w:eastAsia="宋体" w:cs="Times New Roman"/>
          <w:i w:val="0"/>
          <w:iCs w:val="0"/>
          <w:color w:val="auto"/>
          <w:kern w:val="0"/>
          <w:sz w:val="21"/>
          <w:szCs w:val="20"/>
          <w:lang w:val="en-US" w:eastAsia="zh-CN" w:bidi="ar-SA"/>
        </w:rPr>
        <w:t>造影剂用量较大（超过100 mL）或术前存在肾功能减退（eGFR＜60 mL/min/1.73m²）的患者，应于术后24～48小时复查血清肌酐及尿素氮；如发现肌酐较基线升高≥0.3 mg/dL或升高幅度≥50%，应诊断造影剂相关急性肾损伤并及时干预，包括充分水化、停用肾毒性药物及肾内科会诊。</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r>
        <w:rPr>
          <w:rFonts w:hint="eastAsia" w:ascii="黑体" w:hAnsi="Times New Roman" w:eastAsia="黑体" w:cs="Times New Roman"/>
          <w:i w:val="0"/>
          <w:iCs w:val="0"/>
          <w:color w:val="auto"/>
          <w:kern w:val="0"/>
          <w:szCs w:val="20"/>
        </w:rPr>
        <w:t>设备使用数据记录</w:t>
      </w:r>
      <w:bookmarkEnd w:id="99"/>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after="156" w:afterLines="50" w:line="360" w:lineRule="exact"/>
        <w:ind w:leftChars="0" w:firstLine="420" w:firstLineChars="200"/>
        <w:textAlignment w:val="auto"/>
        <w:outlineLvl w:val="2"/>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术后应对本次手术的机器人系统运行数据进行归档，内容包括操作时长、导丝/导管推送参数、系统报警记录及人工接管情况等，纳入病历及质量管理系统，供后续质量分析与持续改进使用。</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r>
        <w:rPr>
          <w:rFonts w:hint="eastAsia" w:ascii="黑体" w:hAnsi="Times New Roman" w:eastAsia="黑体" w:cs="Times New Roman"/>
          <w:i w:val="0"/>
          <w:iCs w:val="0"/>
          <w:color w:val="auto"/>
          <w:kern w:val="0"/>
          <w:szCs w:val="20"/>
          <w:lang w:val="en-US" w:eastAsia="zh-CN"/>
        </w:rPr>
        <w:t>并发症记录与分析</w:t>
      </w:r>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after="156" w:afterLines="50" w:line="360" w:lineRule="exact"/>
        <w:ind w:leftChars="0" w:firstLine="420" w:firstLineChars="200"/>
        <w:textAlignment w:val="auto"/>
        <w:outlineLvl w:val="2"/>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医疗机构应建立机器人辅助PCI并发症登记制度，对与机器人操作相关的不良事件（包括设备异常、操作中转、血管损伤等）进行专项记录，定期开展回顾性分析，作为设备维护和操作规范优化的依据。</w:t>
      </w:r>
    </w:p>
    <w:p>
      <w:pPr>
        <w:pStyle w:val="17"/>
        <w:keepNext w:val="0"/>
        <w:keepLines w:val="0"/>
        <w:pageBreakBefore w:val="0"/>
        <w:numPr>
          <w:ilvl w:val="0"/>
          <w:numId w:val="2"/>
        </w:numPr>
        <w:kinsoku/>
        <w:wordWrap/>
        <w:overflowPunct/>
        <w:topLinePunct w:val="0"/>
        <w:bidi w:val="0"/>
        <w:adjustRightInd/>
        <w:spacing w:before="312" w:beforeLines="100" w:after="312" w:afterLines="100" w:line="240" w:lineRule="auto"/>
        <w:ind w:left="0" w:leftChars="0" w:firstLine="0" w:firstLineChars="0"/>
        <w:textAlignment w:val="auto"/>
        <w:outlineLvl w:val="9"/>
        <w:rPr>
          <w:rFonts w:hint="eastAsia" w:ascii="黑体" w:hAnsi="Times New Roman" w:eastAsia="黑体" w:cs="Times New Roman"/>
          <w:i w:val="0"/>
          <w:iCs w:val="0"/>
          <w:color w:val="auto"/>
          <w:kern w:val="0"/>
          <w:szCs w:val="20"/>
        </w:rPr>
      </w:pPr>
      <w:bookmarkStart w:id="100" w:name="_Toc1860580554"/>
      <w:r>
        <w:rPr>
          <w:rFonts w:hint="eastAsia" w:ascii="黑体" w:hAnsi="Times New Roman" w:eastAsia="黑体" w:cs="Times New Roman"/>
          <w:i w:val="0"/>
          <w:iCs w:val="0"/>
          <w:color w:val="auto"/>
          <w:kern w:val="0"/>
          <w:szCs w:val="20"/>
        </w:rPr>
        <w:t>质量管理与持续改进</w:t>
      </w:r>
      <w:bookmarkEnd w:id="100"/>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Times New Roman" w:hAnsi="Times New Roman" w:eastAsia="宋体" w:cs="Times New Roman"/>
          <w:i w:val="0"/>
          <w:iCs w:val="0"/>
          <w:color w:val="auto"/>
          <w:kern w:val="0"/>
          <w:sz w:val="21"/>
          <w:szCs w:val="20"/>
          <w:lang w:val="en-US" w:eastAsia="zh-CN" w:bidi="ar-SA"/>
        </w:rPr>
      </w:pPr>
      <w:bookmarkStart w:id="101" w:name="_Toc1267987111"/>
      <w:r>
        <w:rPr>
          <w:rFonts w:hint="eastAsia" w:ascii="黑体" w:hAnsi="Times New Roman" w:eastAsia="黑体" w:cs="Times New Roman"/>
          <w:i w:val="0"/>
          <w:iCs w:val="0"/>
          <w:color w:val="auto"/>
          <w:kern w:val="0"/>
          <w:szCs w:val="20"/>
        </w:rPr>
        <w:t>总体要求</w:t>
      </w:r>
      <w:bookmarkEnd w:id="101"/>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lang w:val="en-US" w:eastAsia="zh-CN"/>
        </w:rPr>
      </w:pPr>
      <w:r>
        <w:rPr>
          <w:rFonts w:hint="eastAsia" w:ascii="宋体" w:hAnsi="宋体" w:eastAsia="宋体" w:cs="宋体"/>
          <w:i w:val="0"/>
          <w:iCs w:val="0"/>
          <w:color w:val="auto"/>
          <w:kern w:val="0"/>
          <w:lang w:val="en-US" w:eastAsia="zh-CN"/>
        </w:rPr>
        <w:t>医疗机构应建立冠状动脉介入机器人手术的质量管理体系，覆盖术前、术中及术后全过程。</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lang w:val="en-US" w:eastAsia="zh-CN"/>
        </w:rPr>
      </w:pPr>
      <w:r>
        <w:rPr>
          <w:rFonts w:hint="eastAsia" w:ascii="宋体" w:hAnsi="宋体" w:eastAsia="宋体" w:cs="宋体"/>
          <w:i w:val="0"/>
          <w:iCs w:val="0"/>
          <w:color w:val="auto"/>
          <w:kern w:val="0"/>
          <w:lang w:val="en-US" w:eastAsia="zh-CN"/>
        </w:rPr>
        <w:t>质量管理应以患者安全、手术有效性和系统可靠性为核心目标，形成持续监测、评估与改进机制。</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lang w:val="en-US" w:eastAsia="zh-CN"/>
        </w:rPr>
      </w:pPr>
      <w:r>
        <w:rPr>
          <w:rFonts w:hint="eastAsia" w:ascii="宋体" w:hAnsi="宋体" w:eastAsia="宋体" w:cs="宋体"/>
          <w:i w:val="0"/>
          <w:iCs w:val="0"/>
          <w:color w:val="auto"/>
          <w:kern w:val="0"/>
          <w:lang w:val="en-US" w:eastAsia="zh-CN"/>
        </w:rPr>
        <w:t>质量管理工作应由具有相应资质的人员负责，并定期向医疗机构质量管理部门报告。</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bookmarkStart w:id="102" w:name="_Toc1579145396"/>
      <w:r>
        <w:rPr>
          <w:rFonts w:hint="eastAsia" w:ascii="黑体" w:hAnsi="Times New Roman" w:eastAsia="黑体" w:cs="Times New Roman"/>
          <w:i w:val="0"/>
          <w:iCs w:val="0"/>
          <w:color w:val="auto"/>
          <w:kern w:val="0"/>
          <w:szCs w:val="20"/>
        </w:rPr>
        <w:t>质量控制要求</w:t>
      </w:r>
      <w:bookmarkEnd w:id="102"/>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医疗机构应建立</w:t>
      </w:r>
      <w:r>
        <w:rPr>
          <w:rFonts w:hint="eastAsia" w:ascii="宋体" w:hAnsi="宋体" w:eastAsia="宋体" w:cs="宋体"/>
          <w:i w:val="0"/>
          <w:iCs w:val="0"/>
          <w:color w:val="auto"/>
          <w:kern w:val="0"/>
          <w:lang w:eastAsia="zh-CN"/>
        </w:rPr>
        <w:t>冠状动脉介入机器人</w:t>
      </w:r>
      <w:r>
        <w:rPr>
          <w:rFonts w:hint="eastAsia" w:ascii="宋体" w:hAnsi="宋体" w:eastAsia="宋体" w:cs="宋体"/>
          <w:i w:val="0"/>
          <w:iCs w:val="0"/>
          <w:color w:val="auto"/>
          <w:kern w:val="0"/>
        </w:rPr>
        <w:t>手术的质量控制体系，对手术安全性、有效性及系统运行稳定性进行持续监测与评估。</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质量控制应涵盖术前评估、术中操作、术后管理、系统维护及随访全过程。</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质量监测指标的设定应符合国家及行业医疗质量管理相关要求，并可结合机构实际情况进行补充和细化。</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医疗机构应定期对质量监测结果进行分析，识别潜在问题并制定改进措施。</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bookmarkStart w:id="103" w:name="_Toc2093760946"/>
      <w:r>
        <w:rPr>
          <w:rFonts w:hint="eastAsia" w:ascii="黑体" w:hAnsi="Times New Roman" w:eastAsia="黑体" w:cs="Times New Roman"/>
          <w:i w:val="0"/>
          <w:iCs w:val="0"/>
          <w:color w:val="auto"/>
          <w:kern w:val="0"/>
          <w:szCs w:val="20"/>
        </w:rPr>
        <w:t>设备运行与维护保障</w:t>
      </w:r>
      <w:bookmarkEnd w:id="103"/>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黑体" w:hAnsi="Times New Roman" w:eastAsia="黑体" w:cs="Times New Roman"/>
          <w:i w:val="0"/>
          <w:iCs w:val="0"/>
          <w:color w:val="auto"/>
          <w:kern w:val="0"/>
          <w:sz w:val="21"/>
          <w:szCs w:val="20"/>
          <w:lang w:val="en-US" w:eastAsia="zh-CN" w:bidi="ar-SA"/>
        </w:rPr>
      </w:pPr>
      <w:bookmarkStart w:id="104" w:name="_Toc1173179680"/>
      <w:r>
        <w:rPr>
          <w:rFonts w:hint="eastAsia" w:ascii="黑体" w:hAnsi="Times New Roman" w:eastAsia="黑体" w:cs="Times New Roman"/>
          <w:i w:val="0"/>
          <w:iCs w:val="0"/>
          <w:color w:val="auto"/>
          <w:kern w:val="0"/>
          <w:sz w:val="21"/>
          <w:szCs w:val="20"/>
          <w:lang w:val="en-US" w:eastAsia="zh-CN" w:bidi="ar-SA"/>
        </w:rPr>
        <w:t>日常巡检</w:t>
      </w:r>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after="156" w:afterLines="50" w:line="360" w:lineRule="exact"/>
        <w:ind w:leftChars="0" w:firstLine="420" w:firstLineChars="200"/>
        <w:textAlignment w:val="auto"/>
        <w:outlineLvl w:val="4"/>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每日手术开始前，操作人员应对冠状动脉介入机器人系统进行开机自检，内容包括：控制单元与执行单元通信连接状态、机械臂运动范围与复位功能、阻力反馈系统响应、电源与接地状态、影像同步显示是否正常。检查结果应逐项记录并签字，异常情况应在手术启动前排除。</w:t>
      </w:r>
      <w:bookmarkEnd w:id="104"/>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黑体" w:hAnsi="Times New Roman" w:eastAsia="黑体" w:cs="Times New Roman"/>
          <w:i w:val="0"/>
          <w:iCs w:val="0"/>
          <w:color w:val="auto"/>
          <w:kern w:val="0"/>
          <w:sz w:val="21"/>
          <w:szCs w:val="20"/>
          <w:lang w:val="en-US" w:eastAsia="zh-CN" w:bidi="ar-SA"/>
        </w:rPr>
      </w:pPr>
      <w:r>
        <w:rPr>
          <w:rFonts w:hint="eastAsia" w:ascii="黑体" w:hAnsi="Times New Roman" w:eastAsia="黑体" w:cs="Times New Roman"/>
          <w:i w:val="0"/>
          <w:iCs w:val="0"/>
          <w:color w:val="auto"/>
          <w:kern w:val="0"/>
          <w:sz w:val="21"/>
          <w:szCs w:val="20"/>
          <w:lang w:val="en-US" w:eastAsia="zh-CN" w:bidi="ar-SA"/>
        </w:rPr>
        <w:t>定期维护与校准</w:t>
      </w:r>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after="156" w:afterLines="50" w:line="360" w:lineRule="exact"/>
        <w:ind w:leftChars="0" w:firstLine="420" w:firstLineChars="200"/>
        <w:textAlignment w:val="auto"/>
        <w:outlineLvl w:val="4"/>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应按以下周期开展设备维护与校准：每月由设备管理人员对系统进行一次功能校准，包括导丝/导管推送精度验证、阻力反馈灵敏度测试及通信延迟检测，校准结果记录存档；每季度由具备资质的工程技术人员或制造商授权服务人员开展一次全面预防性维护，内容包括机械部件磨损检查、电气连接紧固、软件版本核查及系统性能综合评估；每年配合医疗机构医疗设备年度安全检测，完成整机安全性评估并出具书面报告。</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lang w:val="en-US" w:eastAsia="zh-CN"/>
        </w:rPr>
      </w:pPr>
      <w:r>
        <w:rPr>
          <w:rFonts w:hint="eastAsia"/>
          <w:lang w:val="en-US" w:eastAsia="zh-CN"/>
        </w:rPr>
        <w:t>故障管理</w:t>
      </w:r>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after="156" w:afterLines="50" w:line="360" w:lineRule="exact"/>
        <w:ind w:leftChars="0" w:firstLine="420" w:firstLineChars="200"/>
        <w:textAlignment w:val="auto"/>
        <w:outlineLvl w:val="4"/>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设备出现故障或异常报警时，应立即停止使用并填写故障报告单，注明故障现象、发生时间及当前手术状态。故障应在24小时内上报相关部门，维修完成后须经功能验证合格方可重新投入临床使用。维修过程及验证结果应留存记录。</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lang w:val="en-US" w:eastAsia="zh-CN"/>
        </w:rPr>
      </w:pPr>
      <w:r>
        <w:rPr>
          <w:rFonts w:hint="eastAsia"/>
          <w:lang w:val="en-US" w:eastAsia="zh-CN"/>
        </w:rPr>
        <w:t>档案管理</w:t>
      </w:r>
    </w:p>
    <w:p>
      <w:pPr>
        <w:pStyle w:val="20"/>
        <w:keepNext w:val="0"/>
        <w:keepLines w:val="0"/>
        <w:pageBreakBefore w:val="0"/>
        <w:widowControl/>
        <w:numPr>
          <w:ilvl w:val="2"/>
          <w:numId w:val="0"/>
        </w:numPr>
        <w:kinsoku/>
        <w:wordWrap/>
        <w:overflowPunct/>
        <w:topLinePunct w:val="0"/>
        <w:autoSpaceDE/>
        <w:autoSpaceDN/>
        <w:bidi w:val="0"/>
        <w:adjustRightInd/>
        <w:snapToGrid/>
        <w:spacing w:before="156" w:beforeLines="50" w:after="156" w:afterLines="50" w:line="360" w:lineRule="exact"/>
        <w:ind w:leftChars="0" w:firstLine="420" w:firstLineChars="200"/>
        <w:textAlignment w:val="auto"/>
        <w:outlineLvl w:val="4"/>
        <w:rPr>
          <w:rFonts w:hint="eastAsia" w:ascii="Times New Roman" w:hAnsi="Times New Roman" w:eastAsia="宋体" w:cs="Times New Roman"/>
          <w:i w:val="0"/>
          <w:iCs w:val="0"/>
          <w:color w:val="auto"/>
          <w:kern w:val="0"/>
          <w:sz w:val="21"/>
          <w:szCs w:val="20"/>
          <w:lang w:val="en-US" w:eastAsia="zh-CN" w:bidi="ar-SA"/>
        </w:rPr>
      </w:pPr>
      <w:r>
        <w:rPr>
          <w:rFonts w:hint="eastAsia" w:ascii="Times New Roman" w:hAnsi="Times New Roman" w:eastAsia="宋体" w:cs="Times New Roman"/>
          <w:i w:val="0"/>
          <w:iCs w:val="0"/>
          <w:color w:val="auto"/>
          <w:kern w:val="0"/>
          <w:sz w:val="21"/>
          <w:szCs w:val="20"/>
          <w:lang w:val="en-US" w:eastAsia="zh-CN" w:bidi="ar-SA"/>
        </w:rPr>
        <w:t>所有巡检记录、校准报告、维护记录及故障维修单应纳入设备技术档案统一管理，保存期限不少于设备使用年限终止后5年，并接受医疗机构质量管理部门的定期审查。</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bookmarkStart w:id="105" w:name="_Toc1583518653"/>
      <w:r>
        <w:rPr>
          <w:rFonts w:hint="eastAsia" w:ascii="黑体" w:hAnsi="Times New Roman" w:eastAsia="黑体" w:cs="Times New Roman"/>
          <w:i w:val="0"/>
          <w:iCs w:val="0"/>
          <w:color w:val="auto"/>
          <w:kern w:val="0"/>
          <w:szCs w:val="20"/>
          <w:lang w:val="en-US" w:eastAsia="zh-CN"/>
        </w:rPr>
        <w:t>质量</w:t>
      </w:r>
      <w:r>
        <w:rPr>
          <w:rFonts w:hint="eastAsia" w:ascii="黑体" w:hAnsi="Times New Roman" w:eastAsia="黑体" w:cs="Times New Roman"/>
          <w:i w:val="0"/>
          <w:iCs w:val="0"/>
          <w:color w:val="auto"/>
          <w:kern w:val="0"/>
          <w:szCs w:val="20"/>
        </w:rPr>
        <w:t>数据采集与分析</w:t>
      </w:r>
      <w:bookmarkEnd w:id="105"/>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应建立标准化的数据采集与记录体系，确保手术、随访及设备运行信息真实、完整、可追溯。</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数据来源包括机器人系统操作日志、造影影像、术后随访记录及并发症登记。</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应定期开展统计与分析，评估手术质量趋势，为改进措施提供依据。</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bookmarkStart w:id="106" w:name="_Toc433163700"/>
      <w:r>
        <w:rPr>
          <w:rFonts w:hint="eastAsia" w:ascii="黑体" w:hAnsi="Times New Roman" w:eastAsia="黑体" w:cs="Times New Roman"/>
          <w:i w:val="0"/>
          <w:iCs w:val="0"/>
          <w:color w:val="auto"/>
          <w:kern w:val="0"/>
          <w:szCs w:val="20"/>
        </w:rPr>
        <w:t>内部审核与质量评估</w:t>
      </w:r>
      <w:bookmarkEnd w:id="106"/>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医疗机构应定期开展内部质量审核，内容包括系统运行状态、手术安全管理、术后随访执行及数据准确性。</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审核结果应形成书面报告，提出整改措施并落实责任部门。</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必要时可邀请外部专家进行独立评估，以提高质量管理的客观性和透明度。</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eastAsia="黑体" w:cs="Times New Roman"/>
          <w:i w:val="0"/>
          <w:iCs w:val="0"/>
          <w:color w:val="auto"/>
          <w:kern w:val="0"/>
          <w:szCs w:val="20"/>
        </w:rPr>
      </w:pPr>
      <w:bookmarkStart w:id="107" w:name="_Toc212742570"/>
      <w:r>
        <w:rPr>
          <w:rFonts w:hint="eastAsia" w:ascii="黑体" w:hAnsi="Times New Roman" w:eastAsia="黑体" w:cs="Times New Roman"/>
          <w:i w:val="0"/>
          <w:iCs w:val="0"/>
          <w:color w:val="auto"/>
          <w:kern w:val="0"/>
          <w:szCs w:val="20"/>
        </w:rPr>
        <w:t>持续改进机制</w:t>
      </w:r>
      <w:bookmarkEnd w:id="107"/>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医疗机构应建立持续改进机制，根据质量监测和审核结果制定改进计划。</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改进措施应包括人员培训、操作规范更新、设备维护优化及应急流程完善。</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对重复或高频问题应进行原因追溯和系统性改进，形成闭环管理。</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改进效果应在年度质量总结中评估并报告。</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cs="Times New Roman"/>
          <w:i w:val="0"/>
          <w:iCs w:val="0"/>
          <w:color w:val="auto"/>
          <w:kern w:val="0"/>
          <w:szCs w:val="20"/>
        </w:rPr>
      </w:pPr>
      <w:bookmarkStart w:id="108" w:name="_Toc4101735"/>
      <w:r>
        <w:rPr>
          <w:rFonts w:hint="eastAsia" w:ascii="黑体" w:hAnsi="Times New Roman" w:cs="Times New Roman"/>
          <w:i w:val="0"/>
          <w:iCs w:val="0"/>
          <w:color w:val="auto"/>
          <w:kern w:val="0"/>
          <w:szCs w:val="20"/>
        </w:rPr>
        <w:t>持续培训与能力建设</w:t>
      </w:r>
      <w:bookmarkEnd w:id="108"/>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医疗机构应建立</w:t>
      </w:r>
      <w:r>
        <w:rPr>
          <w:rFonts w:hint="eastAsia" w:ascii="宋体" w:hAnsi="宋体" w:eastAsia="宋体" w:cs="宋体"/>
          <w:i w:val="0"/>
          <w:iCs w:val="0"/>
          <w:color w:val="auto"/>
          <w:kern w:val="0"/>
          <w:lang w:eastAsia="zh-CN"/>
        </w:rPr>
        <w:t>冠状动脉介入机器人</w:t>
      </w:r>
      <w:r>
        <w:rPr>
          <w:rFonts w:hint="eastAsia" w:ascii="宋体" w:hAnsi="宋体" w:eastAsia="宋体" w:cs="宋体"/>
          <w:i w:val="0"/>
          <w:iCs w:val="0"/>
          <w:color w:val="auto"/>
          <w:kern w:val="0"/>
        </w:rPr>
        <w:t>持续培训机制，定期开展系统操作、安全管理、并发症处置及数据管理等专题培训，覆盖术者、助手、护理及工程技术人员。</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培训效果应经考核验证，并作为质量改进和绩效评估的依据。</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培训与准入考核要求应符合4.3.3的规定</w:t>
      </w:r>
      <w:r>
        <w:rPr>
          <w:rFonts w:hint="eastAsia" w:ascii="宋体" w:hAnsi="宋体" w:eastAsia="宋体" w:cs="宋体"/>
          <w:i w:val="0"/>
          <w:iCs w:val="0"/>
          <w:color w:val="auto"/>
          <w:kern w:val="0"/>
          <w:lang w:eastAsia="zh-CN"/>
        </w:rPr>
        <w:t>。</w:t>
      </w:r>
    </w:p>
    <w:p>
      <w:pPr>
        <w:pStyle w:val="20"/>
        <w:keepNext w:val="0"/>
        <w:keepLines w:val="0"/>
        <w:pageBreakBefore w:val="0"/>
        <w:numPr>
          <w:ilvl w:val="1"/>
          <w:numId w:val="2"/>
        </w:numPr>
        <w:kinsoku/>
        <w:wordWrap/>
        <w:overflowPunct/>
        <w:topLinePunct w:val="0"/>
        <w:bidi w:val="0"/>
        <w:adjustRightInd/>
        <w:spacing w:before="156" w:beforeLines="50" w:after="156" w:afterLines="50" w:line="360" w:lineRule="exact"/>
        <w:ind w:left="0" w:leftChars="0" w:firstLine="0" w:firstLineChars="0"/>
        <w:textAlignment w:val="auto"/>
        <w:outlineLvl w:val="1"/>
        <w:rPr>
          <w:rFonts w:hint="eastAsia" w:ascii="黑体" w:hAnsi="Times New Roman" w:cs="Times New Roman"/>
          <w:i w:val="0"/>
          <w:iCs w:val="0"/>
          <w:color w:val="auto"/>
          <w:kern w:val="0"/>
          <w:szCs w:val="20"/>
        </w:rPr>
      </w:pPr>
      <w:bookmarkStart w:id="109" w:name="_Toc218383441"/>
      <w:r>
        <w:rPr>
          <w:rFonts w:hint="eastAsia" w:ascii="黑体" w:hAnsi="Times New Roman" w:cs="Times New Roman"/>
          <w:i w:val="0"/>
          <w:iCs w:val="0"/>
          <w:color w:val="auto"/>
          <w:kern w:val="0"/>
          <w:szCs w:val="20"/>
        </w:rPr>
        <w:t>质量改进档案与信息共享</w:t>
      </w:r>
      <w:bookmarkEnd w:id="109"/>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所有质量管理与改进活动应建立档案，包括会议记录、整改措施、审核报告及培训文件。</w:t>
      </w:r>
    </w:p>
    <w:p>
      <w:pPr>
        <w:pStyle w:val="23"/>
        <w:keepNext w:val="0"/>
        <w:keepLines w:val="0"/>
        <w:pageBreakBefore w:val="0"/>
        <w:numPr>
          <w:ilvl w:val="2"/>
          <w:numId w:val="2"/>
        </w:numPr>
        <w:kinsoku/>
        <w:wordWrap/>
        <w:overflowPunct/>
        <w:topLinePunct w:val="0"/>
        <w:bidi w:val="0"/>
        <w:adjustRightInd/>
        <w:spacing w:before="156" w:beforeLines="50" w:after="156" w:afterLines="50" w:line="360" w:lineRule="exact"/>
        <w:ind w:left="4" w:leftChars="0" w:hanging="4" w:firstLineChars="0"/>
        <w:textAlignment w:val="auto"/>
        <w:rPr>
          <w:rFonts w:hint="eastAsia" w:ascii="宋体" w:hAnsi="宋体" w:eastAsia="宋体" w:cs="宋体"/>
          <w:i w:val="0"/>
          <w:iCs w:val="0"/>
          <w:color w:val="auto"/>
          <w:kern w:val="0"/>
        </w:rPr>
      </w:pPr>
      <w:r>
        <w:rPr>
          <w:rFonts w:hint="eastAsia" w:ascii="宋体" w:hAnsi="宋体" w:eastAsia="宋体" w:cs="宋体"/>
          <w:i w:val="0"/>
          <w:iCs w:val="0"/>
          <w:color w:val="auto"/>
          <w:kern w:val="0"/>
        </w:rPr>
        <w:t>在符合数据安全和隐私保护要求的前提下，医疗机构可与相关机构共享质量管理经验与改进成果，以促进</w:t>
      </w:r>
      <w:r>
        <w:rPr>
          <w:rFonts w:hint="eastAsia" w:ascii="宋体" w:hAnsi="宋体" w:eastAsia="宋体" w:cs="宋体"/>
          <w:i w:val="0"/>
          <w:iCs w:val="0"/>
          <w:color w:val="auto"/>
          <w:kern w:val="0"/>
          <w:lang w:eastAsia="zh-CN"/>
        </w:rPr>
        <w:t>冠状动脉介入机器人</w:t>
      </w:r>
      <w:r>
        <w:rPr>
          <w:rFonts w:hint="eastAsia" w:ascii="宋体" w:hAnsi="宋体" w:eastAsia="宋体" w:cs="宋体"/>
          <w:i w:val="0"/>
          <w:iCs w:val="0"/>
          <w:color w:val="auto"/>
          <w:kern w:val="0"/>
        </w:rPr>
        <w:t>技术的标准化应用与持续优化。</w:t>
      </w:r>
    </w:p>
    <w:bookmarkEnd w:id="22"/>
    <w:bookmarkEnd w:id="23"/>
    <w:p>
      <w:pPr>
        <w:keepNext w:val="0"/>
        <w:keepLines w:val="0"/>
        <w:pageBreakBefore w:val="0"/>
        <w:widowControl/>
        <w:kinsoku/>
        <w:wordWrap/>
        <w:overflowPunct/>
        <w:topLinePunct w:val="0"/>
        <w:bidi w:val="0"/>
        <w:adjustRightInd/>
        <w:spacing w:line="360" w:lineRule="exact"/>
        <w:jc w:val="left"/>
        <w:textAlignment w:val="auto"/>
        <w:rPr>
          <w:rFonts w:ascii="仿宋" w:hAnsi="仿宋" w:eastAsia="仿宋"/>
          <w:i w:val="0"/>
          <w:iCs w:val="0"/>
          <w:color w:val="auto"/>
          <w:sz w:val="30"/>
          <w:szCs w:val="30"/>
        </w:rPr>
      </w:pPr>
    </w:p>
    <w:p>
      <w:pPr>
        <w:keepNext w:val="0"/>
        <w:keepLines w:val="0"/>
        <w:pageBreakBefore w:val="0"/>
        <w:kinsoku/>
        <w:wordWrap/>
        <w:overflowPunct/>
        <w:topLinePunct w:val="0"/>
        <w:bidi w:val="0"/>
        <w:adjustRightInd/>
        <w:spacing w:line="360" w:lineRule="exact"/>
        <w:textAlignment w:val="auto"/>
        <w:rPr>
          <w:rFonts w:ascii="仿宋" w:hAnsi="仿宋" w:eastAsia="仿宋"/>
          <w:i w:val="0"/>
          <w:iCs w:val="0"/>
          <w:color w:val="auto"/>
          <w:sz w:val="30"/>
          <w:szCs w:val="30"/>
        </w:rPr>
        <w:sectPr>
          <w:footerReference r:id="rId11"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425" w:num="1"/>
          <w:docGrid w:linePitch="312" w:charSpace="0"/>
        </w:sectPr>
      </w:pPr>
    </w:p>
    <w:p>
      <w:pPr>
        <w:pStyle w:val="25"/>
        <w:keepNext w:val="0"/>
        <w:keepLines w:val="0"/>
        <w:pageBreakBefore w:val="0"/>
        <w:widowControl/>
        <w:shd w:val="clear" w:color="FFFFFF" w:fill="FFFFFF"/>
        <w:kinsoku/>
        <w:wordWrap/>
        <w:overflowPunct/>
        <w:topLinePunct w:val="0"/>
        <w:autoSpaceDE/>
        <w:autoSpaceDN/>
        <w:bidi w:val="0"/>
        <w:adjustRightInd/>
        <w:snapToGrid/>
        <w:spacing w:before="0" w:after="120" w:line="360" w:lineRule="exact"/>
        <w:textAlignment w:val="auto"/>
        <w:rPr>
          <w:rFonts w:hint="eastAsia"/>
          <w:b w:val="0"/>
          <w:bCs w:val="0"/>
          <w:i w:val="0"/>
          <w:iCs w:val="0"/>
          <w:color w:val="auto"/>
          <w:sz w:val="21"/>
          <w:szCs w:val="21"/>
        </w:rPr>
      </w:pPr>
      <w:bookmarkStart w:id="110" w:name="_Toc1810745834"/>
      <w:bookmarkStart w:id="111" w:name="_Toc509933873"/>
      <w:bookmarkStart w:id="112" w:name="_Toc510534552"/>
      <w:r>
        <w:rPr>
          <w:rFonts w:hint="eastAsia"/>
          <w:b w:val="0"/>
          <w:bCs w:val="0"/>
          <w:i w:val="0"/>
          <w:iCs w:val="0"/>
          <w:color w:val="auto"/>
          <w:sz w:val="21"/>
          <w:szCs w:val="21"/>
        </w:rPr>
        <w:t>参 考 文 献</w:t>
      </w:r>
      <w:bookmarkEnd w:id="110"/>
      <w:bookmarkEnd w:id="111"/>
      <w:bookmarkEnd w:id="112"/>
    </w:p>
    <w:p>
      <w:pPr>
        <w:keepNext w:val="0"/>
        <w:keepLines w:val="0"/>
        <w:pageBreakBefore w:val="0"/>
        <w:kinsoku/>
        <w:wordWrap/>
        <w:overflowPunct/>
        <w:topLinePunct w:val="0"/>
        <w:bidi w:val="0"/>
        <w:adjustRightInd/>
        <w:snapToGrid w:val="0"/>
        <w:spacing w:line="360" w:lineRule="exact"/>
        <w:ind w:firstLine="420" w:firstLineChars="200"/>
        <w:jc w:val="left"/>
        <w:textAlignment w:val="auto"/>
        <w:rPr>
          <w:rFonts w:hint="eastAsia" w:ascii="宋体" w:hAnsi="宋体" w:eastAsia="宋体"/>
          <w:i w:val="0"/>
          <w:iCs w:val="0"/>
          <w:color w:val="auto"/>
          <w:szCs w:val="21"/>
          <w:lang w:val="en-US" w:eastAsia="zh-CN"/>
        </w:rPr>
      </w:pPr>
      <w:r>
        <w:rPr>
          <w:rFonts w:ascii="宋体" w:hAnsi="宋体" w:eastAsia="宋体"/>
          <w:i w:val="0"/>
          <w:iCs w:val="0"/>
          <w:color w:val="auto"/>
          <w:szCs w:val="21"/>
        </w:rPr>
        <w:t>[1]</w:t>
      </w:r>
      <w:r>
        <w:rPr>
          <w:rFonts w:hint="eastAsia" w:ascii="宋体" w:hAnsi="宋体" w:eastAsia="宋体"/>
          <w:i w:val="0"/>
          <w:iCs w:val="0"/>
          <w:color w:val="auto"/>
          <w:szCs w:val="21"/>
          <w:lang w:val="en-US" w:eastAsia="zh-CN"/>
        </w:rPr>
        <w:t xml:space="preserve">  ISO 13485:2016， Medical devices — Quality management systems — Requirements for regulatory purposes</w:t>
      </w:r>
    </w:p>
    <w:p>
      <w:pPr>
        <w:keepNext w:val="0"/>
        <w:keepLines w:val="0"/>
        <w:pageBreakBefore w:val="0"/>
        <w:kinsoku/>
        <w:wordWrap/>
        <w:overflowPunct/>
        <w:topLinePunct w:val="0"/>
        <w:bidi w:val="0"/>
        <w:adjustRightInd/>
        <w:snapToGrid w:val="0"/>
        <w:spacing w:line="360" w:lineRule="exact"/>
        <w:ind w:firstLine="420" w:firstLineChars="200"/>
        <w:jc w:val="left"/>
        <w:textAlignment w:val="auto"/>
        <w:rPr>
          <w:rFonts w:ascii="仿宋" w:hAnsi="仿宋" w:eastAsia="仿宋"/>
          <w:i w:val="0"/>
          <w:iCs w:val="0"/>
          <w:color w:val="auto"/>
          <w:sz w:val="30"/>
          <w:szCs w:val="30"/>
        </w:rPr>
      </w:pPr>
      <w:r>
        <w:rPr>
          <w:rFonts w:ascii="宋体" w:hAnsi="宋体" w:eastAsia="宋体"/>
          <w:i w:val="0"/>
          <w:iCs w:val="0"/>
          <w:color w:val="auto"/>
          <w:szCs w:val="21"/>
        </w:rPr>
        <w:t>[2]</w:t>
      </w:r>
      <w:r>
        <w:rPr>
          <w:rFonts w:hint="eastAsia" w:ascii="宋体" w:hAnsi="宋体" w:eastAsia="宋体"/>
          <w:i w:val="0"/>
          <w:iCs w:val="0"/>
          <w:color w:val="auto"/>
          <w:szCs w:val="21"/>
          <w:lang w:val="en-US" w:eastAsia="zh-CN"/>
        </w:rPr>
        <w:t xml:space="preserve">  医疗废物管理条例</w:t>
      </w:r>
    </w:p>
    <w:p>
      <w:pPr>
        <w:keepNext w:val="0"/>
        <w:keepLines w:val="0"/>
        <w:pageBreakBefore w:val="0"/>
        <w:kinsoku/>
        <w:wordWrap/>
        <w:overflowPunct/>
        <w:topLinePunct w:val="0"/>
        <w:bidi w:val="0"/>
        <w:adjustRightInd/>
        <w:spacing w:line="360" w:lineRule="exact"/>
        <w:jc w:val="center"/>
        <w:textAlignment w:val="auto"/>
        <w:rPr>
          <w:rFonts w:ascii="Times New Roman" w:hAnsi="Times New Roman" w:eastAsia="仿宋" w:cs="Times New Roman"/>
          <w:i w:val="0"/>
          <w:iCs w:val="0"/>
          <w:color w:val="auto"/>
          <w:sz w:val="30"/>
          <w:szCs w:val="30"/>
        </w:rPr>
      </w:pPr>
      <w:r>
        <w:rPr>
          <w:rFonts w:hint="default"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1799590</wp:posOffset>
                </wp:positionH>
                <wp:positionV relativeFrom="paragraph">
                  <wp:posOffset>426085</wp:posOffset>
                </wp:positionV>
                <wp:extent cx="1548130" cy="0"/>
                <wp:effectExtent l="0" t="0" r="0" b="0"/>
                <wp:wrapNone/>
                <wp:docPr id="36" name="直接连接符 36"/>
                <wp:cNvGraphicFramePr/>
                <a:graphic xmlns:a="http://schemas.openxmlformats.org/drawingml/2006/main">
                  <a:graphicData uri="http://schemas.microsoft.com/office/word/2010/wordprocessingShape">
                    <wps:wsp>
                      <wps:cNvCnPr/>
                      <wps:spPr>
                        <a:xfrm>
                          <a:off x="0" y="0"/>
                          <a:ext cx="154813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41.7pt;margin-top:33.55pt;height:0pt;width:121.9pt;z-index:251659264;mso-width-relative:page;mso-height-relative:page;" filled="f" stroked="t" coordsize="21600,21600" o:gfxdata="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&#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M07LvWAAAACQEAAA8AAAAAAAAAAQAgAAAAIgAAAGRy&#10;cy9kb3ducmV2LnhtbFBLAQIUABQAAAAIAIdO4kA3dSu7zgEAAHMDAAAOAAAAAAAAAAEAIAAAACUB&#10;AABkcnMvZTJvRG9jLnhtbFBLBQYAAAAABgAGAFkBAABlBQAAAAA=&#10;">
                <v:fill on="f" focussize="0,0"/>
                <v:stroke weight="0.5pt" color="#000000" miterlimit="8" joinstyle="miter"/>
                <v:imagedata o:title=""/>
                <o:lock v:ext="edit" aspectratio="f"/>
              </v:line>
            </w:pict>
          </mc:Fallback>
        </mc:AlternateContent>
      </w:r>
    </w:p>
    <w:sectPr>
      <w:headerReference r:id="rId12" w:type="default"/>
      <w:pgSz w:w="11906" w:h="16838"/>
      <w:pgMar w:top="1440" w:right="1797" w:bottom="1440" w:left="1797" w:header="851" w:footer="992" w:gutter="0"/>
      <w:pgBorders>
        <w:top w:val="none" w:sz="0" w:space="0"/>
        <w:left w:val="none" w:sz="0" w:space="0"/>
        <w:bottom w:val="none" w:sz="0" w:space="0"/>
        <w:right w:val="none" w:sz="0" w:space="0"/>
      </w:pgBorders>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00000000000000000"/>
    <w:charset w:val="86"/>
    <w:family w:val="swiss"/>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8492029"/>
      <w:docPartObj>
        <w:docPartGallery w:val="autotext"/>
      </w:docPartObj>
    </w:sdtPr>
    <w:sdtContent>
      <w:p>
        <w:pPr>
          <w:pStyle w:val="6"/>
          <w:jc w:val="right"/>
        </w:pPr>
        <w:r>
          <w:fldChar w:fldCharType="begin"/>
        </w:r>
        <w:r>
          <w:instrText xml:space="preserve">PAGE   \* MERGEFORMAT</w:instrText>
        </w:r>
        <w:r>
          <w:fldChar w:fldCharType="separate"/>
        </w:r>
        <w:r>
          <w:rPr>
            <w:lang w:val="zh-CN"/>
          </w:rPr>
          <w:t>I</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7167578"/>
      <w:docPartObj>
        <w:docPartGallery w:val="autotext"/>
      </w:docPartObj>
    </w:sdtPr>
    <w:sdtContent>
      <w:p>
        <w:pPr>
          <w:pStyle w:val="6"/>
          <w:jc w:val="right"/>
        </w:pPr>
        <w:r>
          <w:fldChar w:fldCharType="begin"/>
        </w:r>
        <w:r>
          <w:instrText xml:space="preserve">PAGE   \* MERGEFORMAT</w:instrText>
        </w:r>
        <w:r>
          <w:fldChar w:fldCharType="separate"/>
        </w:r>
        <w:r>
          <w:rPr>
            <w:lang w:val="zh-CN"/>
          </w:rPr>
          <w:t>1</w:t>
        </w:r>
        <w:r>
          <w:fldChar w:fldCharType="end"/>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default"/>
        <w:lang w:val="en-US"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1270"/>
      </w:tabs>
      <w:wordWrap w:val="0"/>
      <w:jc w:val="both"/>
      <w:rPr>
        <w:rFonts w:ascii="黑体" w:hAnsi="黑体" w:eastAsia="黑体"/>
        <w:sz w:val="21"/>
        <w:szCs w:val="21"/>
      </w:rPr>
    </w:pPr>
    <w:r>
      <w:rPr>
        <w:rFonts w:ascii="黑体" w:hAnsi="黑体" w:eastAsia="黑体"/>
        <w:sz w:val="21"/>
        <w:szCs w:val="21"/>
      </w:rPr>
      <w:tab/>
    </w:r>
    <w:r>
      <w:rPr>
        <w:rFonts w:ascii="黑体" w:hAnsi="黑体" w:eastAsia="黑体"/>
        <w:sz w:val="21"/>
        <w:szCs w:val="21"/>
      </w:rPr>
      <w:tab/>
    </w:r>
    <w:r>
      <w:rPr>
        <w:rFonts w:ascii="黑体" w:hAnsi="黑体" w:eastAsia="黑体"/>
        <w:sz w:val="21"/>
        <w:szCs w:val="2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91163"/>
    <w:multiLevelType w:val="multilevel"/>
    <w:tmpl w:val="1FC91163"/>
    <w:lvl w:ilvl="0" w:tentative="0">
      <w:start w:val="1"/>
      <w:numFmt w:val="decimal"/>
      <w:pStyle w:val="24"/>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CEA2025"/>
    <w:multiLevelType w:val="multilevel"/>
    <w:tmpl w:val="6CEA2025"/>
    <w:lvl w:ilvl="0" w:tentative="0">
      <w:start w:val="1"/>
      <w:numFmt w:val="none"/>
      <w:pStyle w:val="25"/>
      <w:suff w:val="nothing"/>
      <w:lvlText w:val="%1"/>
      <w:lvlJc w:val="left"/>
      <w:pPr>
        <w:ind w:left="0" w:firstLine="0"/>
      </w:pPr>
      <w:rPr>
        <w:rFonts w:hint="default" w:ascii="Times New Roman" w:hAnsi="Times New Roman"/>
        <w:b/>
        <w:i w:val="0"/>
        <w:sz w:val="21"/>
      </w:rPr>
    </w:lvl>
    <w:lvl w:ilvl="1" w:tentative="0">
      <w:start w:val="1"/>
      <w:numFmt w:val="decimal"/>
      <w:pStyle w:val="17"/>
      <w:suff w:val="nothing"/>
      <w:lvlText w:val="%1%2　"/>
      <w:lvlJc w:val="left"/>
      <w:pPr>
        <w:ind w:left="360" w:firstLine="0"/>
      </w:pPr>
      <w:rPr>
        <w:rFonts w:hint="eastAsia" w:ascii="黑体" w:hAnsi="Times New Roman" w:eastAsia="黑体"/>
        <w:b w:val="0"/>
        <w:i w:val="0"/>
        <w:sz w:val="21"/>
      </w:rPr>
    </w:lvl>
    <w:lvl w:ilvl="2" w:tentative="0">
      <w:start w:val="1"/>
      <w:numFmt w:val="decimal"/>
      <w:pStyle w:val="20"/>
      <w:suff w:val="nothing"/>
      <w:lvlText w:val="%1%2.%3　"/>
      <w:lvlJc w:val="left"/>
      <w:pPr>
        <w:ind w:left="0" w:firstLine="0"/>
      </w:pPr>
      <w:rPr>
        <w:rFonts w:hint="eastAsia" w:ascii="黑体" w:hAnsi="Times New Roman" w:eastAsia="黑体"/>
        <w:b w:val="0"/>
        <w:i w:val="0"/>
        <w:sz w:val="21"/>
      </w:rPr>
    </w:lvl>
    <w:lvl w:ilvl="3" w:tentative="0">
      <w:start w:val="1"/>
      <w:numFmt w:val="decimal"/>
      <w:pStyle w:val="2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hNzY0ZDkyN2IyZmI1YWM4NDI0YzMxNTczYjkxOGYifQ=="/>
  </w:docVars>
  <w:rsids>
    <w:rsidRoot w:val="00BC7831"/>
    <w:rsid w:val="00016417"/>
    <w:rsid w:val="00051519"/>
    <w:rsid w:val="00053659"/>
    <w:rsid w:val="00060D8E"/>
    <w:rsid w:val="00080D52"/>
    <w:rsid w:val="000C29F0"/>
    <w:rsid w:val="000F1177"/>
    <w:rsid w:val="000F3546"/>
    <w:rsid w:val="00101828"/>
    <w:rsid w:val="001057F7"/>
    <w:rsid w:val="001074B6"/>
    <w:rsid w:val="0011064A"/>
    <w:rsid w:val="00110943"/>
    <w:rsid w:val="00112E5C"/>
    <w:rsid w:val="00160984"/>
    <w:rsid w:val="00165E1D"/>
    <w:rsid w:val="00184727"/>
    <w:rsid w:val="00195740"/>
    <w:rsid w:val="00195EBA"/>
    <w:rsid w:val="001A33E4"/>
    <w:rsid w:val="001C487F"/>
    <w:rsid w:val="001C5DF8"/>
    <w:rsid w:val="001E3CBE"/>
    <w:rsid w:val="00210EDC"/>
    <w:rsid w:val="00226F03"/>
    <w:rsid w:val="00240ECC"/>
    <w:rsid w:val="002568DB"/>
    <w:rsid w:val="002A3D14"/>
    <w:rsid w:val="002A716C"/>
    <w:rsid w:val="002D1620"/>
    <w:rsid w:val="002E27BA"/>
    <w:rsid w:val="002F33B1"/>
    <w:rsid w:val="0034011E"/>
    <w:rsid w:val="003B4F8D"/>
    <w:rsid w:val="00413F82"/>
    <w:rsid w:val="00435258"/>
    <w:rsid w:val="0043594C"/>
    <w:rsid w:val="00437239"/>
    <w:rsid w:val="004415F3"/>
    <w:rsid w:val="00467DE9"/>
    <w:rsid w:val="00514F56"/>
    <w:rsid w:val="0056475B"/>
    <w:rsid w:val="005675F6"/>
    <w:rsid w:val="005A4262"/>
    <w:rsid w:val="005B63FD"/>
    <w:rsid w:val="005C4D5C"/>
    <w:rsid w:val="005D718A"/>
    <w:rsid w:val="005E4503"/>
    <w:rsid w:val="005F249D"/>
    <w:rsid w:val="005F72FB"/>
    <w:rsid w:val="00664A03"/>
    <w:rsid w:val="00670459"/>
    <w:rsid w:val="00673E36"/>
    <w:rsid w:val="00674D46"/>
    <w:rsid w:val="0068444E"/>
    <w:rsid w:val="00687204"/>
    <w:rsid w:val="00692CC5"/>
    <w:rsid w:val="006E4104"/>
    <w:rsid w:val="006E78C3"/>
    <w:rsid w:val="00754AD5"/>
    <w:rsid w:val="007558D6"/>
    <w:rsid w:val="007A732B"/>
    <w:rsid w:val="007C7383"/>
    <w:rsid w:val="007D24E9"/>
    <w:rsid w:val="00826483"/>
    <w:rsid w:val="00862A07"/>
    <w:rsid w:val="008B1166"/>
    <w:rsid w:val="008D309F"/>
    <w:rsid w:val="008F7435"/>
    <w:rsid w:val="00931243"/>
    <w:rsid w:val="009401B9"/>
    <w:rsid w:val="00970892"/>
    <w:rsid w:val="009807BE"/>
    <w:rsid w:val="00981EAB"/>
    <w:rsid w:val="00984ED3"/>
    <w:rsid w:val="00990F61"/>
    <w:rsid w:val="009C6235"/>
    <w:rsid w:val="00A14AD3"/>
    <w:rsid w:val="00A93EB2"/>
    <w:rsid w:val="00AB3E24"/>
    <w:rsid w:val="00AC469E"/>
    <w:rsid w:val="00AF4FBC"/>
    <w:rsid w:val="00B100E3"/>
    <w:rsid w:val="00B530B7"/>
    <w:rsid w:val="00B5365B"/>
    <w:rsid w:val="00B573EC"/>
    <w:rsid w:val="00BB49F7"/>
    <w:rsid w:val="00BC7831"/>
    <w:rsid w:val="00C31CF7"/>
    <w:rsid w:val="00C553DB"/>
    <w:rsid w:val="00C86BEC"/>
    <w:rsid w:val="00CA373C"/>
    <w:rsid w:val="00D62642"/>
    <w:rsid w:val="00D70986"/>
    <w:rsid w:val="00DA744C"/>
    <w:rsid w:val="00DE1D6D"/>
    <w:rsid w:val="00E463FE"/>
    <w:rsid w:val="00E60530"/>
    <w:rsid w:val="00E86133"/>
    <w:rsid w:val="00E91C18"/>
    <w:rsid w:val="00EB2E65"/>
    <w:rsid w:val="00EC75D4"/>
    <w:rsid w:val="00EF27E0"/>
    <w:rsid w:val="00F024E8"/>
    <w:rsid w:val="00F10A24"/>
    <w:rsid w:val="00F27B39"/>
    <w:rsid w:val="00F51C34"/>
    <w:rsid w:val="00F948F3"/>
    <w:rsid w:val="00FD0652"/>
    <w:rsid w:val="00FD741A"/>
    <w:rsid w:val="01F36FCC"/>
    <w:rsid w:val="0227136C"/>
    <w:rsid w:val="045A77D7"/>
    <w:rsid w:val="078B7CA7"/>
    <w:rsid w:val="07956B9C"/>
    <w:rsid w:val="08190FC5"/>
    <w:rsid w:val="08D12032"/>
    <w:rsid w:val="08EC0C19"/>
    <w:rsid w:val="091B525A"/>
    <w:rsid w:val="09420839"/>
    <w:rsid w:val="0B1F52D6"/>
    <w:rsid w:val="0C581437"/>
    <w:rsid w:val="0D7F1C86"/>
    <w:rsid w:val="0E2A204D"/>
    <w:rsid w:val="10741C20"/>
    <w:rsid w:val="12AA7B7B"/>
    <w:rsid w:val="15FD4466"/>
    <w:rsid w:val="165A3666"/>
    <w:rsid w:val="17E15D06"/>
    <w:rsid w:val="185F188A"/>
    <w:rsid w:val="18DF6862"/>
    <w:rsid w:val="1A0A2ABA"/>
    <w:rsid w:val="1A847E25"/>
    <w:rsid w:val="1ABB98D2"/>
    <w:rsid w:val="1C646FED"/>
    <w:rsid w:val="1CC7757C"/>
    <w:rsid w:val="1D1A3B4F"/>
    <w:rsid w:val="1E5A5A62"/>
    <w:rsid w:val="1E965458"/>
    <w:rsid w:val="1EBFBCD4"/>
    <w:rsid w:val="1ED9DF5C"/>
    <w:rsid w:val="20D96F19"/>
    <w:rsid w:val="2623053C"/>
    <w:rsid w:val="270F3FF9"/>
    <w:rsid w:val="27E606F5"/>
    <w:rsid w:val="290F75E7"/>
    <w:rsid w:val="2B761D6E"/>
    <w:rsid w:val="2BC2163A"/>
    <w:rsid w:val="2C8438FC"/>
    <w:rsid w:val="2DE65587"/>
    <w:rsid w:val="2DF14458"/>
    <w:rsid w:val="300D4E4E"/>
    <w:rsid w:val="306E6599"/>
    <w:rsid w:val="30C61BCC"/>
    <w:rsid w:val="30E16A06"/>
    <w:rsid w:val="31A014D2"/>
    <w:rsid w:val="31B71C74"/>
    <w:rsid w:val="31F31444"/>
    <w:rsid w:val="32963A97"/>
    <w:rsid w:val="33770F5C"/>
    <w:rsid w:val="340A6274"/>
    <w:rsid w:val="34DD74E5"/>
    <w:rsid w:val="35EF1F51"/>
    <w:rsid w:val="36AE0C05"/>
    <w:rsid w:val="37783AF1"/>
    <w:rsid w:val="3780507C"/>
    <w:rsid w:val="3857742F"/>
    <w:rsid w:val="38710670"/>
    <w:rsid w:val="39ED01CA"/>
    <w:rsid w:val="3BDB990D"/>
    <w:rsid w:val="3BDBE2C2"/>
    <w:rsid w:val="3C776471"/>
    <w:rsid w:val="3DB334D8"/>
    <w:rsid w:val="3E495BEB"/>
    <w:rsid w:val="3EE7595E"/>
    <w:rsid w:val="3EEC6CA2"/>
    <w:rsid w:val="3FF78D33"/>
    <w:rsid w:val="410B2946"/>
    <w:rsid w:val="4126549E"/>
    <w:rsid w:val="43EF1F40"/>
    <w:rsid w:val="454C3070"/>
    <w:rsid w:val="458A0FC3"/>
    <w:rsid w:val="45D109A0"/>
    <w:rsid w:val="47B24801"/>
    <w:rsid w:val="48877A3B"/>
    <w:rsid w:val="48CD485D"/>
    <w:rsid w:val="490E5A67"/>
    <w:rsid w:val="4AD178C5"/>
    <w:rsid w:val="4C1C493F"/>
    <w:rsid w:val="4D0203ED"/>
    <w:rsid w:val="4DEF34A4"/>
    <w:rsid w:val="4DFFF72A"/>
    <w:rsid w:val="4E121B55"/>
    <w:rsid w:val="4ED14613"/>
    <w:rsid w:val="4F7A1C1A"/>
    <w:rsid w:val="529A65BD"/>
    <w:rsid w:val="52FB52AE"/>
    <w:rsid w:val="53E775E0"/>
    <w:rsid w:val="54994852"/>
    <w:rsid w:val="55A7612E"/>
    <w:rsid w:val="55DFA058"/>
    <w:rsid w:val="57CA7013"/>
    <w:rsid w:val="58DD11B1"/>
    <w:rsid w:val="5B3F7F01"/>
    <w:rsid w:val="5DB524FD"/>
    <w:rsid w:val="5DBFF9EC"/>
    <w:rsid w:val="5EFD6815"/>
    <w:rsid w:val="5F5024DD"/>
    <w:rsid w:val="5FB7794B"/>
    <w:rsid w:val="621C0D9D"/>
    <w:rsid w:val="63021D41"/>
    <w:rsid w:val="635E543F"/>
    <w:rsid w:val="646FEAEF"/>
    <w:rsid w:val="66B772E6"/>
    <w:rsid w:val="68615EFD"/>
    <w:rsid w:val="69E77EE2"/>
    <w:rsid w:val="6A9516EC"/>
    <w:rsid w:val="6BEF83F5"/>
    <w:rsid w:val="6DB39FF6"/>
    <w:rsid w:val="6E201C15"/>
    <w:rsid w:val="6FCE4FE5"/>
    <w:rsid w:val="6FD732BC"/>
    <w:rsid w:val="6FFB01F3"/>
    <w:rsid w:val="70D50A94"/>
    <w:rsid w:val="744E128A"/>
    <w:rsid w:val="7455768C"/>
    <w:rsid w:val="74D07EF1"/>
    <w:rsid w:val="758F33D3"/>
    <w:rsid w:val="76BD6E14"/>
    <w:rsid w:val="76FB709C"/>
    <w:rsid w:val="7883527A"/>
    <w:rsid w:val="78A43588"/>
    <w:rsid w:val="78AF606F"/>
    <w:rsid w:val="78C244A2"/>
    <w:rsid w:val="79F6F43E"/>
    <w:rsid w:val="7BD52290"/>
    <w:rsid w:val="7BDFF3E4"/>
    <w:rsid w:val="7CBE43E0"/>
    <w:rsid w:val="7D7F32FC"/>
    <w:rsid w:val="7D9773EB"/>
    <w:rsid w:val="7DC861E9"/>
    <w:rsid w:val="7DFD31C0"/>
    <w:rsid w:val="7DFE56F6"/>
    <w:rsid w:val="7E562072"/>
    <w:rsid w:val="7E779842"/>
    <w:rsid w:val="7F1EE44F"/>
    <w:rsid w:val="7F6F4CC5"/>
    <w:rsid w:val="7FB99062"/>
    <w:rsid w:val="7FDFAADA"/>
    <w:rsid w:val="7FF77C3F"/>
    <w:rsid w:val="7FFFF72E"/>
    <w:rsid w:val="8F9334F4"/>
    <w:rsid w:val="9DFE7DA4"/>
    <w:rsid w:val="ADF677CA"/>
    <w:rsid w:val="AE0F4041"/>
    <w:rsid w:val="AEFE72FA"/>
    <w:rsid w:val="AFDFC58D"/>
    <w:rsid w:val="BE6B8578"/>
    <w:rsid w:val="BFBF9A52"/>
    <w:rsid w:val="C9FF67B9"/>
    <w:rsid w:val="CE5F069B"/>
    <w:rsid w:val="D2F15EFB"/>
    <w:rsid w:val="D3FFF92C"/>
    <w:rsid w:val="D69D0AF1"/>
    <w:rsid w:val="DAFB7A2B"/>
    <w:rsid w:val="DBCB960B"/>
    <w:rsid w:val="DBEF4A9E"/>
    <w:rsid w:val="DEAE612D"/>
    <w:rsid w:val="DFE73465"/>
    <w:rsid w:val="DFF7F6EB"/>
    <w:rsid w:val="DFFF51E5"/>
    <w:rsid w:val="E5A79FE1"/>
    <w:rsid w:val="E5BE9B58"/>
    <w:rsid w:val="E9FD235A"/>
    <w:rsid w:val="F3CBC9B4"/>
    <w:rsid w:val="F6DDD5D5"/>
    <w:rsid w:val="F73B07EF"/>
    <w:rsid w:val="F7FE58FA"/>
    <w:rsid w:val="F7FF5299"/>
    <w:rsid w:val="F8578A17"/>
    <w:rsid w:val="FB84B8BE"/>
    <w:rsid w:val="FCFF6CD0"/>
    <w:rsid w:val="FDEB922D"/>
    <w:rsid w:val="FEFF172A"/>
    <w:rsid w:val="FFE2D9FD"/>
    <w:rsid w:val="FFEE0984"/>
    <w:rsid w:val="FFF79DBF"/>
    <w:rsid w:val="FFFBAC48"/>
    <w:rsid w:val="FFFF42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3"/>
    <w:basedOn w:val="1"/>
    <w:link w:val="15"/>
    <w:qFormat/>
    <w:uiPriority w:val="0"/>
    <w:pPr>
      <w:widowControl/>
    </w:pPr>
    <w:rPr>
      <w:rFonts w:ascii="Times New Roman" w:hAnsi="Times New Roman" w:eastAsia="仿宋_GB2312" w:cs="Times New Roman"/>
      <w:kern w:val="0"/>
      <w:sz w:val="28"/>
      <w:szCs w:val="20"/>
    </w:rPr>
  </w:style>
  <w:style w:type="paragraph" w:styleId="4">
    <w:name w:val="toc 3"/>
    <w:basedOn w:val="1"/>
    <w:next w:val="1"/>
    <w:semiHidden/>
    <w:unhideWhenUsed/>
    <w:qFormat/>
    <w:uiPriority w:val="39"/>
    <w:pPr>
      <w:ind w:left="840" w:leftChars="400"/>
    </w:pPr>
  </w:style>
  <w:style w:type="paragraph" w:styleId="5">
    <w:name w:val="Balloon Text"/>
    <w:basedOn w:val="1"/>
    <w:link w:val="31"/>
    <w:semiHidden/>
    <w:unhideWhenUsed/>
    <w:qFormat/>
    <w:uiPriority w:val="99"/>
    <w:rPr>
      <w:sz w:val="18"/>
      <w:szCs w:val="18"/>
    </w:rPr>
  </w:style>
  <w:style w:type="paragraph" w:styleId="6">
    <w:name w:val="footer"/>
    <w:basedOn w:val="1"/>
    <w:link w:val="28"/>
    <w:unhideWhenUsed/>
    <w:qFormat/>
    <w:uiPriority w:val="99"/>
    <w:pPr>
      <w:tabs>
        <w:tab w:val="center" w:pos="4153"/>
        <w:tab w:val="right" w:pos="8306"/>
      </w:tabs>
      <w:snapToGrid w:val="0"/>
      <w:jc w:val="left"/>
    </w:pPr>
    <w:rPr>
      <w:sz w:val="18"/>
      <w:szCs w:val="18"/>
    </w:rPr>
  </w:style>
  <w:style w:type="paragraph" w:styleId="7">
    <w:name w:val="header"/>
    <w:basedOn w:val="1"/>
    <w:link w:val="27"/>
    <w:qFormat/>
    <w:uiPriority w:val="99"/>
    <w:pPr>
      <w:tabs>
        <w:tab w:val="center" w:pos="4153"/>
        <w:tab w:val="right" w:pos="8306"/>
      </w:tabs>
      <w:snapToGrid w:val="0"/>
      <w:jc w:val="center"/>
    </w:pPr>
    <w:rPr>
      <w:rFonts w:ascii="Times New Roman" w:hAnsi="Times New Roman" w:eastAsia="宋体" w:cs="Times New Roman"/>
      <w:sz w:val="18"/>
      <w:szCs w:val="18"/>
    </w:rPr>
  </w:style>
  <w:style w:type="paragraph" w:styleId="8">
    <w:name w:val="toc 1"/>
    <w:next w:val="1"/>
    <w:qFormat/>
    <w:uiPriority w:val="39"/>
    <w:pPr>
      <w:widowControl w:val="0"/>
      <w:spacing w:before="240" w:after="120"/>
    </w:pPr>
    <w:rPr>
      <w:rFonts w:ascii="等线" w:hAnsi="Times New Roman" w:eastAsia="等线" w:cs="Times New Roman"/>
      <w:b/>
      <w:bCs/>
      <w:kern w:val="2"/>
      <w:sz w:val="20"/>
      <w:szCs w:val="20"/>
      <w:lang w:val="en-US" w:eastAsia="zh-CN" w:bidi="ar-SA"/>
    </w:rPr>
  </w:style>
  <w:style w:type="paragraph" w:styleId="9">
    <w:name w:val="toc 2"/>
    <w:basedOn w:val="1"/>
    <w:next w:val="1"/>
    <w:semiHidden/>
    <w:unhideWhenUsed/>
    <w:qFormat/>
    <w:uiPriority w:val="39"/>
    <w:pPr>
      <w:ind w:left="420" w:leftChars="200"/>
    </w:p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正文文本 3 字符"/>
    <w:basedOn w:val="11"/>
    <w:link w:val="3"/>
    <w:qFormat/>
    <w:uiPriority w:val="0"/>
    <w:rPr>
      <w:rFonts w:ascii="Times New Roman" w:hAnsi="Times New Roman" w:eastAsia="仿宋_GB2312" w:cs="Times New Roman"/>
      <w:kern w:val="0"/>
      <w:sz w:val="28"/>
      <w:szCs w:val="20"/>
    </w:rPr>
  </w:style>
  <w:style w:type="character" w:customStyle="1" w:styleId="16">
    <w:name w:val="章标题 Char"/>
    <w:link w:val="17"/>
    <w:qFormat/>
    <w:uiPriority w:val="0"/>
    <w:rPr>
      <w:rFonts w:ascii="黑体" w:eastAsia="黑体"/>
    </w:rPr>
  </w:style>
  <w:style w:type="paragraph" w:customStyle="1" w:styleId="17">
    <w:name w:val="章标题"/>
    <w:next w:val="1"/>
    <w:link w:val="16"/>
    <w:qFormat/>
    <w:uiPriority w:val="0"/>
    <w:pPr>
      <w:numPr>
        <w:ilvl w:val="1"/>
        <w:numId w:val="1"/>
      </w:numPr>
      <w:spacing w:beforeLines="50" w:afterLines="50"/>
      <w:jc w:val="both"/>
      <w:outlineLvl w:val="1"/>
    </w:pPr>
    <w:rPr>
      <w:rFonts w:ascii="黑体" w:eastAsia="黑体" w:hAnsiTheme="minorHAnsi" w:cstheme="minorBidi"/>
      <w:kern w:val="2"/>
      <w:sz w:val="21"/>
      <w:szCs w:val="22"/>
      <w:lang w:val="en-US" w:eastAsia="zh-CN" w:bidi="ar-SA"/>
    </w:rPr>
  </w:style>
  <w:style w:type="paragraph" w:customStyle="1" w:styleId="18">
    <w:name w:val="段"/>
    <w:link w:val="36"/>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19">
    <w:name w:val="一级条标题 Char"/>
    <w:link w:val="20"/>
    <w:qFormat/>
    <w:uiPriority w:val="0"/>
    <w:rPr>
      <w:rFonts w:eastAsia="黑体"/>
    </w:rPr>
  </w:style>
  <w:style w:type="paragraph" w:customStyle="1" w:styleId="20">
    <w:name w:val="一级条标题"/>
    <w:next w:val="1"/>
    <w:link w:val="19"/>
    <w:qFormat/>
    <w:uiPriority w:val="0"/>
    <w:pPr>
      <w:numPr>
        <w:ilvl w:val="2"/>
        <w:numId w:val="1"/>
      </w:numPr>
      <w:outlineLvl w:val="2"/>
    </w:pPr>
    <w:rPr>
      <w:rFonts w:eastAsia="黑体" w:asciiTheme="minorHAnsi" w:hAnsiTheme="minorHAnsi" w:cstheme="minorBidi"/>
      <w:kern w:val="2"/>
      <w:sz w:val="21"/>
      <w:szCs w:val="22"/>
      <w:lang w:val="en-US" w:eastAsia="zh-CN" w:bidi="ar-SA"/>
    </w:rPr>
  </w:style>
  <w:style w:type="character" w:customStyle="1" w:styleId="21">
    <w:name w:val="页眉 Char"/>
    <w:basedOn w:val="11"/>
    <w:semiHidden/>
    <w:qFormat/>
    <w:uiPriority w:val="99"/>
    <w:rPr>
      <w:sz w:val="18"/>
      <w:szCs w:val="18"/>
    </w:rPr>
  </w:style>
  <w:style w:type="paragraph" w:customStyle="1" w:styleId="22">
    <w:name w:val="目次、标准名称标题"/>
    <w:basedOn w:val="1"/>
    <w:next w:val="1"/>
    <w:qFormat/>
    <w:uiPriority w:val="0"/>
    <w:pPr>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23">
    <w:name w:val="二级条标题"/>
    <w:basedOn w:val="20"/>
    <w:next w:val="1"/>
    <w:qFormat/>
    <w:uiPriority w:val="0"/>
    <w:pPr>
      <w:numPr>
        <w:ilvl w:val="3"/>
      </w:numPr>
      <w:tabs>
        <w:tab w:val="left" w:pos="435"/>
      </w:tabs>
      <w:ind w:left="435" w:hanging="435"/>
      <w:outlineLvl w:val="3"/>
    </w:pPr>
  </w:style>
  <w:style w:type="paragraph" w:customStyle="1" w:styleId="24">
    <w:name w:val="注：（正文）"/>
    <w:basedOn w:val="1"/>
    <w:next w:val="18"/>
    <w:qFormat/>
    <w:uiPriority w:val="0"/>
    <w:pPr>
      <w:numPr>
        <w:ilvl w:val="0"/>
        <w:numId w:val="2"/>
      </w:numPr>
      <w:tabs>
        <w:tab w:val="left" w:pos="1080"/>
      </w:tabs>
      <w:autoSpaceDE w:val="0"/>
      <w:autoSpaceDN w:val="0"/>
      <w:ind w:left="726" w:hanging="363"/>
    </w:pPr>
    <w:rPr>
      <w:rFonts w:ascii="宋体" w:hAnsi="Times New Roman" w:eastAsia="宋体" w:cs="Times New Roman"/>
      <w:kern w:val="0"/>
      <w:sz w:val="18"/>
      <w:szCs w:val="18"/>
    </w:rPr>
  </w:style>
  <w:style w:type="paragraph" w:customStyle="1" w:styleId="25">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26">
    <w:name w:val="标准书脚_奇数页"/>
    <w:qFormat/>
    <w:uiPriority w:val="0"/>
    <w:pPr>
      <w:spacing w:before="120"/>
      <w:jc w:val="right"/>
    </w:pPr>
    <w:rPr>
      <w:rFonts w:ascii="Times New Roman" w:hAnsi="Times New Roman" w:eastAsia="宋体" w:cs="Times New Roman"/>
      <w:kern w:val="0"/>
      <w:sz w:val="18"/>
      <w:szCs w:val="20"/>
      <w:lang w:val="en-US" w:eastAsia="zh-CN" w:bidi="ar-SA"/>
    </w:rPr>
  </w:style>
  <w:style w:type="character" w:customStyle="1" w:styleId="27">
    <w:name w:val="页眉 字符"/>
    <w:link w:val="7"/>
    <w:qFormat/>
    <w:uiPriority w:val="99"/>
    <w:rPr>
      <w:rFonts w:ascii="Times New Roman" w:hAnsi="Times New Roman" w:eastAsia="宋体" w:cs="Times New Roman"/>
      <w:sz w:val="18"/>
      <w:szCs w:val="18"/>
    </w:rPr>
  </w:style>
  <w:style w:type="character" w:customStyle="1" w:styleId="28">
    <w:name w:val="页脚 字符"/>
    <w:basedOn w:val="11"/>
    <w:link w:val="6"/>
    <w:qFormat/>
    <w:uiPriority w:val="99"/>
    <w:rPr>
      <w:sz w:val="18"/>
      <w:szCs w:val="18"/>
    </w:rPr>
  </w:style>
  <w:style w:type="paragraph" w:styleId="29">
    <w:name w:val="List Paragraph"/>
    <w:basedOn w:val="1"/>
    <w:unhideWhenUsed/>
    <w:qFormat/>
    <w:uiPriority w:val="99"/>
    <w:pPr>
      <w:ind w:firstLine="420" w:firstLineChars="200"/>
    </w:pPr>
    <w:rPr>
      <w:szCs w:val="24"/>
    </w:rPr>
  </w:style>
  <w:style w:type="character" w:customStyle="1" w:styleId="30">
    <w:name w:val="未处理的提及1"/>
    <w:basedOn w:val="11"/>
    <w:semiHidden/>
    <w:unhideWhenUsed/>
    <w:qFormat/>
    <w:uiPriority w:val="99"/>
    <w:rPr>
      <w:color w:val="605E5C"/>
      <w:shd w:val="clear" w:color="auto" w:fill="E1DFDD"/>
    </w:rPr>
  </w:style>
  <w:style w:type="character" w:customStyle="1" w:styleId="31">
    <w:name w:val="批注框文本 字符"/>
    <w:basedOn w:val="11"/>
    <w:link w:val="5"/>
    <w:semiHidden/>
    <w:qFormat/>
    <w:uiPriority w:val="99"/>
    <w:rPr>
      <w:sz w:val="18"/>
      <w:szCs w:val="18"/>
    </w:rPr>
  </w:style>
  <w:style w:type="paragraph" w:customStyle="1" w:styleId="32">
    <w:name w:val="正文 + 宋体"/>
    <w:basedOn w:val="1"/>
    <w:qFormat/>
    <w:uiPriority w:val="0"/>
    <w:pPr>
      <w:spacing w:line="360" w:lineRule="auto"/>
      <w:ind w:firstLine="480" w:firstLineChars="200"/>
    </w:pPr>
    <w:rPr>
      <w:rFonts w:ascii="宋体" w:hAnsi="宋体" w:eastAsia="宋体" w:cs="Times New Roman"/>
      <w:sz w:val="24"/>
      <w:szCs w:val="24"/>
    </w:rPr>
  </w:style>
  <w:style w:type="character" w:customStyle="1" w:styleId="33">
    <w:name w:val="fontstyle01"/>
    <w:basedOn w:val="11"/>
    <w:qFormat/>
    <w:uiPriority w:val="0"/>
    <w:rPr>
      <w:rFonts w:hint="eastAsia" w:ascii="仿宋" w:hAnsi="仿宋" w:eastAsia="仿宋"/>
      <w:color w:val="000000"/>
      <w:sz w:val="30"/>
      <w:szCs w:val="30"/>
    </w:rPr>
  </w:style>
  <w:style w:type="paragraph" w:customStyle="1" w:styleId="34">
    <w:name w:val="Default"/>
    <w:qFormat/>
    <w:uiPriority w:val="0"/>
    <w:pPr>
      <w:widowControl w:val="0"/>
      <w:autoSpaceDE w:val="0"/>
      <w:autoSpaceDN w:val="0"/>
      <w:adjustRightInd w:val="0"/>
    </w:pPr>
    <w:rPr>
      <w:rFonts w:ascii="方正小标宋简体" w:hAnsi="Calibri" w:eastAsia="方正小标宋简体" w:cs="方正小标宋简体"/>
      <w:color w:val="000000"/>
      <w:kern w:val="0"/>
      <w:sz w:val="24"/>
      <w:szCs w:val="24"/>
      <w:lang w:val="en-US" w:eastAsia="zh-CN" w:bidi="ar-SA"/>
    </w:rPr>
  </w:style>
  <w:style w:type="character" w:customStyle="1" w:styleId="35">
    <w:name w:val="未处理的提及2"/>
    <w:basedOn w:val="11"/>
    <w:semiHidden/>
    <w:unhideWhenUsed/>
    <w:qFormat/>
    <w:uiPriority w:val="99"/>
    <w:rPr>
      <w:color w:val="605E5C"/>
      <w:shd w:val="clear" w:color="auto" w:fill="E1DFDD"/>
    </w:rPr>
  </w:style>
  <w:style w:type="character" w:customStyle="1" w:styleId="36">
    <w:name w:val="段 Char"/>
    <w:basedOn w:val="11"/>
    <w:link w:val="18"/>
    <w:qFormat/>
    <w:uiPriority w:val="0"/>
    <w:rPr>
      <w:rFonts w:ascii="宋体" w:hAnsi="Times New Roman" w:eastAsia="宋体" w:cs="Times New Roman"/>
      <w:kern w:val="0"/>
      <w:szCs w:val="20"/>
    </w:rPr>
  </w:style>
  <w:style w:type="paragraph" w:customStyle="1" w:styleId="37">
    <w:name w:val="三级条标题"/>
    <w:basedOn w:val="23"/>
    <w:next w:val="1"/>
    <w:qFormat/>
    <w:uiPriority w:val="0"/>
    <w:pPr>
      <w:outlineLvl w:val="4"/>
    </w:pPr>
    <w:rPr>
      <w:rFonts w:ascii="Calibri" w:hAnsi="Calibri" w:eastAsia="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3db6b71-5c45-4fa2-b825-afb6f3caa3e7}"/>
        <w:style w:val=""/>
        <w:category>
          <w:name w:val="常规"/>
          <w:gallery w:val="placeholder"/>
        </w:category>
        <w:types>
          <w:type w:val="bbPlcHdr"/>
        </w:types>
        <w:behaviors>
          <w:behavior w:val="content"/>
        </w:behaviors>
        <w:description w:val=""/>
        <w:guid w:val="{33db6b71-5c45-4fa2-b825-afb6f3caa3e7}"/>
      </w:docPartPr>
      <w:docPartBody>
        <w:p>
          <w:pPr>
            <w:rPr>
              <w:rFonts w:hint="eastAsia"/>
            </w:rPr>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Root xmlns="http://www.founder.com/ProofFile">
  <Root proofFileId="f09a5989-c684-4ddb-b148-f6f70e05be42" proofVersionId="1"/>
</Roo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6d4935-3a3f-4ede-af4f-9d18e0abe233}">
  <ds:schemaRefs/>
</ds:datastoreItem>
</file>

<file path=docProps/app.xml><?xml version="1.0" encoding="utf-8"?>
<Properties xmlns="http://schemas.openxmlformats.org/officeDocument/2006/extended-properties" xmlns:vt="http://schemas.openxmlformats.org/officeDocument/2006/docPropsVTypes">
  <Template>Normal</Template>
  <Pages>19</Pages>
  <Words>1642</Words>
  <Characters>1774</Characters>
  <Lines>14</Lines>
  <Paragraphs>3</Paragraphs>
  <TotalTime>3</TotalTime>
  <ScaleCrop>false</ScaleCrop>
  <LinksUpToDate>false</LinksUpToDate>
  <CharactersWithSpaces>1893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2019-08-10T10:38:00Z</dcterms:created>
  <dc:creator>fengxue</dc:creator>
  <cp:lastModifiedBy>明</cp:lastModifiedBy>
  <cp:lastPrinted>2022-01-15T14:40:00Z</cp:lastPrinted>
  <dcterms:modified xsi:type="dcterms:W3CDTF">2026-06-01T05:26:34Z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F78D1CBB89C86BCBA8D3056A3F215AF8_43</vt:lpwstr>
  </property>
</Properties>
</file>