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643"/>
        <w:jc w:val="center"/>
        <w:rPr>
          <w:rFonts w:hint="eastAsia" w:asciiTheme="minorEastAsia" w:hAnsiTheme="minorEastAsia" w:eastAsiaTheme="minorEastAsia" w:cstheme="minorEastAsia"/>
          <w:b/>
          <w:bCs/>
          <w:color w:val="auto"/>
          <w:sz w:val="32"/>
          <w:szCs w:val="28"/>
          <w:highlight w:val="none"/>
        </w:rPr>
      </w:pPr>
      <w:r>
        <w:rPr>
          <w:rFonts w:hint="eastAsia" w:asciiTheme="minorEastAsia" w:hAnsiTheme="minorEastAsia" w:eastAsiaTheme="minorEastAsia" w:cstheme="minorEastAsia"/>
          <w:b/>
          <w:bCs/>
          <w:color w:val="auto"/>
          <w:sz w:val="32"/>
          <w:szCs w:val="28"/>
          <w:highlight w:val="none"/>
        </w:rPr>
        <w:t>团体标准编制说明</w:t>
      </w:r>
    </w:p>
    <w:p>
      <w:pPr>
        <w:widowControl/>
        <w:spacing w:line="360" w:lineRule="auto"/>
        <w:ind w:firstLine="48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ascii="Times New Roman" w:hAnsi="Times New Roman" w:eastAsia="宋体"/>
          <w:sz w:val="24"/>
        </w:rPr>
        <w:t>糖尿病数字化健康干预系统技术架构与支撑体系要求</w:t>
      </w:r>
      <w:r>
        <w:rPr>
          <w:rFonts w:hint="eastAsia" w:asciiTheme="minorEastAsia" w:hAnsiTheme="minorEastAsia" w:eastAsiaTheme="minorEastAsia" w:cstheme="minorEastAsia"/>
          <w:color w:val="auto"/>
          <w:sz w:val="24"/>
          <w:highlight w:val="none"/>
        </w:rPr>
        <w:t>》</w:t>
      </w:r>
    </w:p>
    <w:p>
      <w:pPr>
        <w:widowControl/>
        <w:spacing w:line="360" w:lineRule="auto"/>
        <w:ind w:firstLine="48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(阶段：征求意见稿</w:t>
      </w:r>
      <w:bookmarkStart w:id="0" w:name="_GoBack"/>
      <w:bookmarkEnd w:id="0"/>
      <w:r>
        <w:rPr>
          <w:rFonts w:hint="eastAsia" w:asciiTheme="minorEastAsia" w:hAnsiTheme="minorEastAsia" w:eastAsiaTheme="minorEastAsia" w:cstheme="minorEastAsia"/>
          <w:color w:val="auto"/>
          <w:sz w:val="24"/>
          <w:highlight w:val="none"/>
        </w:rPr>
        <w:t>)</w:t>
      </w:r>
    </w:p>
    <w:p>
      <w:pPr>
        <w:pStyle w:val="2"/>
        <w:bidi w:val="0"/>
      </w:pPr>
      <w:r>
        <w:rPr>
          <w:rFonts w:hint="eastAsia"/>
        </w:rPr>
        <w:t>团体标准任务来源、编制背景、目的和意义</w:t>
      </w:r>
    </w:p>
    <w:p>
      <w:pPr>
        <w:bidi w:val="0"/>
        <w:outlineLvl w:val="9"/>
        <w:rPr>
          <w:rFonts w:ascii="Times New Roman" w:hAnsi="Times New Roman" w:eastAsia="宋体"/>
          <w:sz w:val="24"/>
        </w:rPr>
      </w:pPr>
      <w:r>
        <w:rPr>
          <w:b/>
          <w:bCs/>
          <w:sz w:val="24"/>
        </w:rPr>
        <w:t>任务来源</w:t>
      </w:r>
      <w:r>
        <w:rPr>
          <w:rFonts w:hint="eastAsia"/>
          <w:b/>
          <w:bCs/>
          <w:sz w:val="24"/>
          <w:lang w:eastAsia="zh-CN"/>
        </w:rPr>
        <w:t>：</w:t>
      </w:r>
      <w:r>
        <w:rPr>
          <w:rFonts w:ascii="Times New Roman" w:hAnsi="Times New Roman" w:eastAsia="宋体"/>
          <w:sz w:val="24"/>
        </w:rPr>
        <w:t>《糖尿病数字化健康干预系统技术架构与支撑体系要求》由深圳市人民医院提出，由北京慢性病防治与健康教育研究会归口管理，深圳市人民医院牵头，联合福州康为网络技术有限公司、北京天坛医院、北京安贞医院、北京世纪坛医院、北京地坛医院、福建省中卫数字医疗健康科学研究院、新疆维吾尔自治区中医医院、福建医科大学附属第一医院、福建省儿童医院、福建省妇幼保健院、航空总医院、上海交通大学医学院附属第九人民医院、哈尔滨医科大学附属第一医院、浙江省人民医院、广州市第一人民医院、江西省人民医院、赣南医科大学第一附属医院、赣州市人民医院、杭州萧山第一人民医院、兴国县人民医院、福州蓝图生物科技有限公司等单位共同起草。</w:t>
      </w:r>
    </w:p>
    <w:p>
      <w:pPr>
        <w:bidi w:val="0"/>
        <w:outlineLvl w:val="9"/>
        <w:rPr>
          <w:rFonts w:ascii="Times New Roman" w:hAnsi="Times New Roman" w:eastAsia="宋体"/>
          <w:sz w:val="24"/>
        </w:rPr>
      </w:pPr>
      <w:r>
        <w:rPr>
          <w:b/>
          <w:bCs/>
          <w:sz w:val="24"/>
        </w:rPr>
        <w:t>编制背景</w:t>
      </w:r>
      <w:r>
        <w:rPr>
          <w:rFonts w:hint="eastAsia"/>
          <w:b/>
          <w:bCs/>
          <w:sz w:val="24"/>
          <w:lang w:eastAsia="zh-CN"/>
        </w:rPr>
        <w:t>：</w:t>
      </w:r>
      <w:r>
        <w:rPr>
          <w:rFonts w:ascii="Times New Roman" w:hAnsi="Times New Roman" w:eastAsia="宋体"/>
          <w:sz w:val="24"/>
        </w:rPr>
        <w:t>糖尿病是需要长期、连续、综合管理的慢性疾病。在实际建设和应用中，不同糖尿病数字健康干预系统在总体架构、设备接入、数据治理、标准化映射、算法输出边界、预警分级、网络安全、个人信息保护、运维保障和效果评价等方面存在差异，容易造成系统集成困难、数据口径不一致、风险预警闭环不足、算法应用边界不清、运行质量缺乏可比性等问题。制定面向糖尿病专病场景的系统技术架构与运行支撑要求，有利于规范相关系统设计、研发、测试、部署、运行维护和技术评价。</w:t>
      </w:r>
    </w:p>
    <w:p>
      <w:pPr>
        <w:bidi w:val="0"/>
        <w:outlineLvl w:val="9"/>
        <w:rPr>
          <w:rFonts w:ascii="Times New Roman" w:hAnsi="Times New Roman" w:eastAsia="宋体"/>
          <w:sz w:val="24"/>
        </w:rPr>
      </w:pPr>
      <w:r>
        <w:rPr>
          <w:b/>
          <w:bCs/>
          <w:sz w:val="24"/>
        </w:rPr>
        <w:t>目的和意义</w:t>
      </w:r>
      <w:r>
        <w:rPr>
          <w:rFonts w:hint="eastAsia"/>
          <w:b/>
          <w:bCs/>
          <w:sz w:val="24"/>
          <w:lang w:eastAsia="zh-CN"/>
        </w:rPr>
        <w:t>：</w:t>
      </w:r>
      <w:r>
        <w:rPr>
          <w:rFonts w:ascii="Times New Roman" w:hAnsi="Times New Roman" w:eastAsia="宋体"/>
          <w:sz w:val="24"/>
        </w:rPr>
        <w:t>明确糖尿病数字化健康干预系统的总体技术架构、数据接入与治理、专病数据资源、智能化辅助决策、风险预警、网络安全与个人信息保护、运行支撑和评价指标要求，为医疗机构、慢病管理机构、数字健康服务机构、软件研发单位和系统集成单位提供统一、可检查、可实施的技术依据。本标准的实施有助于提升糖尿病数字健康干预系统建设的规范化、同质化和安全性，促进临床医学、慢病管理、物联网、人工智能和医疗信息化的有序融合；推动糖尿病数字化管理服务形成可复制、可评价、可推广的技术支撑体系。</w:t>
      </w:r>
    </w:p>
    <w:p>
      <w:pPr>
        <w:widowControl/>
        <w:numPr>
          <w:ilvl w:val="0"/>
          <w:numId w:val="0"/>
        </w:numPr>
        <w:spacing w:line="360" w:lineRule="auto"/>
        <w:jc w:val="left"/>
        <w:rPr>
          <w:rFonts w:hint="eastAsia" w:asciiTheme="minorEastAsia" w:hAnsiTheme="minorEastAsia" w:eastAsiaTheme="minorEastAsia" w:cstheme="minorEastAsia"/>
          <w:color w:val="auto"/>
          <w:sz w:val="24"/>
          <w:highlight w:val="none"/>
        </w:rPr>
      </w:pPr>
    </w:p>
    <w:p>
      <w:pPr>
        <w:pStyle w:val="2"/>
        <w:bidi w:val="0"/>
      </w:pPr>
      <w:r>
        <w:rPr>
          <w:rFonts w:hint="eastAsia"/>
        </w:rPr>
        <w:t>工作简况，包括基本信息、任务来源、主要工作过程、主要起草人及其分工等。</w:t>
      </w:r>
    </w:p>
    <w:p>
      <w:pPr>
        <w:numPr>
          <w:ilvl w:val="0"/>
          <w:numId w:val="0"/>
        </w:numPr>
        <w:bidi w:val="0"/>
        <w:ind w:leftChars="200"/>
        <w:outlineLvl w:val="9"/>
        <w:rPr>
          <w:rFonts w:hint="eastAsia" w:eastAsia="宋体"/>
          <w:b/>
          <w:bCs/>
          <w:lang w:eastAsia="zh-CN"/>
        </w:rPr>
      </w:pPr>
      <w:r>
        <w:rPr>
          <w:b/>
          <w:bCs/>
          <w:sz w:val="24"/>
        </w:rPr>
        <w:t>基本信息</w:t>
      </w:r>
      <w:r>
        <w:rPr>
          <w:rFonts w:hint="eastAsia"/>
          <w:b/>
          <w:bCs/>
          <w:sz w:val="24"/>
          <w:lang w:eastAsia="zh-CN"/>
        </w:rPr>
        <w:t>：</w:t>
      </w:r>
    </w:p>
    <w:p>
      <w:pPr>
        <w:pStyle w:val="5"/>
        <w:keepNext w:val="0"/>
        <w:keepLines w:val="0"/>
        <w:widowControl/>
        <w:suppressLineNumbers w:val="0"/>
        <w:rPr>
          <w:b w:val="0"/>
          <w:bCs w:val="0"/>
        </w:rPr>
      </w:pPr>
      <w:r>
        <w:rPr>
          <w:b w:val="0"/>
          <w:bCs w:val="0"/>
        </w:rPr>
        <w:t>标准名称</w:t>
      </w:r>
      <w:r>
        <w:rPr>
          <w:rFonts w:hint="eastAsia"/>
          <w:b w:val="0"/>
          <w:bCs w:val="0"/>
          <w:lang w:eastAsia="zh-CN"/>
        </w:rPr>
        <w:t>：</w:t>
      </w:r>
      <w:r>
        <w:rPr>
          <w:rFonts w:ascii="Times New Roman" w:hAnsi="Times New Roman" w:eastAsia="宋体"/>
          <w:sz w:val="24"/>
        </w:rPr>
        <w:t>糖尿病数字化健康干预系统技术架构与支撑体系要求</w:t>
      </w:r>
    </w:p>
    <w:p>
      <w:pPr>
        <w:pStyle w:val="5"/>
        <w:keepNext w:val="0"/>
        <w:keepLines w:val="0"/>
        <w:widowControl/>
        <w:suppressLineNumbers w:val="0"/>
        <w:rPr>
          <w:rFonts w:hint="eastAsia" w:eastAsia="宋体"/>
          <w:b w:val="0"/>
          <w:bCs w:val="0"/>
          <w:lang w:val="en-US" w:eastAsia="zh-CN"/>
        </w:rPr>
      </w:pPr>
      <w:r>
        <w:rPr>
          <w:b w:val="0"/>
          <w:bCs w:val="0"/>
        </w:rPr>
        <w:t>提出单位：深圳市人民医</w:t>
      </w:r>
      <w:r>
        <w:rPr>
          <w:rFonts w:hint="eastAsia"/>
          <w:b w:val="0"/>
          <w:bCs w:val="0"/>
          <w:lang w:val="en-US" w:eastAsia="zh-CN"/>
        </w:rPr>
        <w:t>院</w:t>
      </w:r>
    </w:p>
    <w:p>
      <w:pPr>
        <w:pStyle w:val="5"/>
        <w:keepNext w:val="0"/>
        <w:keepLines w:val="0"/>
        <w:widowControl/>
        <w:suppressLineNumbers w:val="0"/>
        <w:rPr>
          <w:b w:val="0"/>
          <w:bCs w:val="0"/>
        </w:rPr>
      </w:pPr>
      <w:r>
        <w:rPr>
          <w:b w:val="0"/>
          <w:bCs w:val="0"/>
        </w:rPr>
        <w:t>归口单位：北京慢性病防治与健康教育研究会</w:t>
      </w:r>
    </w:p>
    <w:p>
      <w:pPr>
        <w:pStyle w:val="5"/>
        <w:keepNext w:val="0"/>
        <w:keepLines w:val="0"/>
        <w:widowControl/>
        <w:suppressLineNumbers w:val="0"/>
        <w:rPr>
          <w:rFonts w:hint="eastAsia" w:eastAsia="宋体"/>
          <w:lang w:eastAsia="zh-CN"/>
        </w:rPr>
      </w:pPr>
      <w:r>
        <w:rPr>
          <w:rFonts w:hint="eastAsia"/>
          <w:b/>
          <w:bCs/>
          <w:lang w:val="en-US" w:eastAsia="zh-CN"/>
        </w:rPr>
        <w:t>主</w:t>
      </w:r>
      <w:r>
        <w:rPr>
          <w:b/>
          <w:bCs/>
          <w:sz w:val="24"/>
        </w:rPr>
        <w:t>要工作过程</w:t>
      </w:r>
      <w:r>
        <w:rPr>
          <w:rFonts w:hint="eastAsia"/>
          <w:sz w:val="24"/>
          <w:lang w:eastAsia="zh-CN"/>
        </w:rPr>
        <w:t>：</w:t>
      </w:r>
    </w:p>
    <w:p>
      <w:pPr>
        <w:spacing w:after="120" w:line="324" w:lineRule="auto"/>
        <w:ind w:firstLine="480"/>
      </w:pPr>
      <w:r>
        <w:rPr>
          <w:rFonts w:ascii="Times New Roman" w:hAnsi="Times New Roman" w:eastAsia="宋体"/>
          <w:sz w:val="24"/>
        </w:rPr>
        <w:t>起草准备阶段。起草组围绕糖尿病数字化健康干预系统技术架构与支撑体系要求主题开展资料收集和标准对标，形成标准框架。</w:t>
      </w:r>
    </w:p>
    <w:p>
      <w:pPr>
        <w:spacing w:after="120" w:line="324" w:lineRule="auto"/>
        <w:ind w:firstLine="480"/>
      </w:pPr>
      <w:r>
        <w:rPr>
          <w:rFonts w:ascii="Times New Roman" w:hAnsi="Times New Roman" w:eastAsia="宋体"/>
          <w:sz w:val="24"/>
        </w:rPr>
        <w:t>专家访谈与调研阶段。起草组面向内分泌临床、慢病管理、医疗信息化、软件工程、数据安全、医疗器械软件和人工智能应用等相关方向征集意见。</w:t>
      </w:r>
    </w:p>
    <w:p>
      <w:pPr>
        <w:spacing w:after="120" w:line="324" w:lineRule="auto"/>
        <w:ind w:firstLine="480"/>
      </w:pPr>
      <w:r>
        <w:rPr>
          <w:rFonts w:ascii="Times New Roman" w:hAnsi="Times New Roman" w:eastAsia="宋体"/>
          <w:sz w:val="24"/>
        </w:rPr>
        <w:t>草案起草阶段。起草组依据文献检索、专家调研、相关国家标准和行业实践，形成标准草案。</w:t>
      </w:r>
    </w:p>
    <w:p>
      <w:pPr>
        <w:spacing w:after="120" w:line="324" w:lineRule="auto"/>
        <w:ind w:firstLine="480"/>
        <w:rPr>
          <w:rFonts w:ascii="Times New Roman" w:hAnsi="Times New Roman" w:eastAsia="宋体"/>
          <w:sz w:val="24"/>
        </w:rPr>
      </w:pPr>
      <w:r>
        <w:rPr>
          <w:rFonts w:ascii="Times New Roman" w:hAnsi="Times New Roman" w:eastAsia="宋体"/>
          <w:sz w:val="24"/>
        </w:rPr>
        <w:t>专家组讨论与修改阶段。起草专家组召开线上讨论会，对标准</w:t>
      </w:r>
      <w:r>
        <w:rPr>
          <w:rFonts w:hint="eastAsia"/>
          <w:sz w:val="24"/>
          <w:lang w:val="en-US" w:eastAsia="zh-CN"/>
        </w:rPr>
        <w:t>进行</w:t>
      </w:r>
      <w:r>
        <w:rPr>
          <w:rFonts w:ascii="Times New Roman" w:hAnsi="Times New Roman" w:eastAsia="宋体"/>
          <w:sz w:val="24"/>
        </w:rPr>
        <w:t>讨论</w:t>
      </w:r>
      <w:r>
        <w:rPr>
          <w:rFonts w:hint="eastAsia"/>
          <w:sz w:val="24"/>
          <w:lang w:eastAsia="zh-CN"/>
        </w:rPr>
        <w:t>；</w:t>
      </w:r>
      <w:r>
        <w:rPr>
          <w:rFonts w:ascii="Times New Roman" w:hAnsi="Times New Roman" w:eastAsia="宋体"/>
          <w:sz w:val="24"/>
        </w:rPr>
        <w:t>起草组根据会议意见对文本进行了修改完善。</w:t>
      </w:r>
    </w:p>
    <w:p>
      <w:pPr>
        <w:spacing w:after="120" w:line="324" w:lineRule="auto"/>
        <w:ind w:firstLine="480"/>
        <w:rPr>
          <w:rFonts w:hint="eastAsia" w:eastAsia="宋体"/>
          <w:b/>
          <w:bCs/>
          <w:lang w:eastAsia="zh-CN"/>
        </w:rPr>
      </w:pPr>
      <w:r>
        <w:rPr>
          <w:b/>
          <w:bCs/>
          <w:sz w:val="24"/>
        </w:rPr>
        <w:t>主要起草人及分工</w:t>
      </w:r>
      <w:r>
        <w:rPr>
          <w:rFonts w:hint="eastAsia"/>
          <w:b/>
          <w:bCs/>
          <w:sz w:val="24"/>
          <w:lang w:eastAsia="zh-CN"/>
        </w:rPr>
        <w:t>：</w:t>
      </w:r>
    </w:p>
    <w:p>
      <w:pPr>
        <w:spacing w:after="120" w:line="324" w:lineRule="auto"/>
        <w:ind w:firstLine="480"/>
      </w:pPr>
      <w:r>
        <w:rPr>
          <w:rFonts w:ascii="Times New Roman" w:hAnsi="Times New Roman" w:eastAsia="宋体"/>
          <w:sz w:val="24"/>
        </w:rPr>
        <w:t>本标准主要起草人为康林、吴炎、熊丽娇、马丽、宋李斌。康林负责标准总体组织协调；吴炎、熊丽娇、马丽等负责糖尿病临床场景、医学证据和医疗安全边界把关；宋李斌负责数字化系统架构、平台运行支撑、评价指标可实现性论证。</w:t>
      </w:r>
    </w:p>
    <w:p>
      <w:pPr>
        <w:spacing w:after="120" w:line="324" w:lineRule="auto"/>
        <w:ind w:firstLine="480"/>
      </w:pPr>
      <w:r>
        <w:rPr>
          <w:rFonts w:ascii="Times New Roman" w:hAnsi="Times New Roman" w:eastAsia="宋体"/>
          <w:sz w:val="24"/>
        </w:rPr>
        <w:t>其他起草人包括徐平、钟历勇、徐剑、林志刚、林娟、王立新、方红娟、叶晓燕、韩兵、叶潇、陈发秀、</w:t>
      </w:r>
      <w:r>
        <w:rPr>
          <w:rFonts w:hint="eastAsia" w:ascii="Times New Roman" w:hAnsi="Times New Roman" w:eastAsia="宋体"/>
          <w:sz w:val="24"/>
        </w:rPr>
        <w:t>林奉森</w:t>
      </w:r>
      <w:r>
        <w:rPr>
          <w:rFonts w:hint="eastAsia"/>
          <w:sz w:val="24"/>
          <w:lang w:eastAsia="zh-CN"/>
        </w:rPr>
        <w:t>、</w:t>
      </w:r>
      <w:r>
        <w:rPr>
          <w:rFonts w:ascii="Times New Roman" w:hAnsi="Times New Roman" w:eastAsia="宋体"/>
          <w:sz w:val="24"/>
        </w:rPr>
        <w:t>许荣、谢芳、阿曼古丽·苏力唐、张宝玉、曲光瑾、张秀珍、蒋竹奕、黄倩芳、陈子龙、綦雯雯、王延雪、吴崇数、苏友智、宋小英、梅运婷等，分别结合内分泌临床、糖尿病并发症管理、妊娠期糖尿病、儿童健康管理、医院信息化、数据治理、人工智能、营养干预、运维支撑和区域应用等方向参与文本起草、技术审核和意见修改。</w:t>
      </w:r>
    </w:p>
    <w:p>
      <w:pPr>
        <w:widowControl/>
        <w:numPr>
          <w:ilvl w:val="0"/>
          <w:numId w:val="0"/>
        </w:numPr>
        <w:spacing w:line="360" w:lineRule="auto"/>
        <w:jc w:val="left"/>
        <w:rPr>
          <w:rFonts w:hint="eastAsia" w:asciiTheme="minorEastAsia" w:hAnsiTheme="minorEastAsia" w:eastAsiaTheme="minorEastAsia" w:cstheme="minorEastAsia"/>
          <w:b w:val="0"/>
          <w:bCs w:val="0"/>
          <w:color w:val="auto"/>
          <w:sz w:val="24"/>
          <w:highlight w:val="none"/>
        </w:rPr>
      </w:pPr>
    </w:p>
    <w:p>
      <w:pPr>
        <w:pStyle w:val="2"/>
        <w:bidi w:val="0"/>
        <w:rPr>
          <w:rFonts w:hint="eastAsia"/>
        </w:rPr>
      </w:pPr>
      <w:r>
        <w:rPr>
          <w:rFonts w:hint="eastAsia"/>
        </w:rPr>
        <w:t>标准编制原则</w:t>
      </w:r>
    </w:p>
    <w:p>
      <w:pPr>
        <w:spacing w:after="120" w:line="324" w:lineRule="auto"/>
        <w:ind w:firstLine="480"/>
      </w:pPr>
      <w:r>
        <w:rPr>
          <w:rFonts w:ascii="Times New Roman" w:hAnsi="Times New Roman" w:eastAsia="宋体"/>
          <w:sz w:val="24"/>
        </w:rPr>
        <w:t>科学性原则。本标准以现行有效的临床指南、专家共识、相关国家标准、行业规范、国际健康软件和互操作标准为依据，围绕糖尿病数字健康干预系统的真实应用场景提出要求，确保技术内容具有医学依据和工程依据。</w:t>
      </w:r>
    </w:p>
    <w:p>
      <w:pPr>
        <w:spacing w:after="120" w:line="324" w:lineRule="auto"/>
        <w:ind w:firstLine="480"/>
      </w:pPr>
      <w:r>
        <w:rPr>
          <w:rFonts w:ascii="Times New Roman" w:hAnsi="Times New Roman" w:eastAsia="宋体"/>
          <w:sz w:val="24"/>
        </w:rPr>
        <w:t>安全性原则。本标准坚持医疗安全、数据安全和个人信息保护并重，明确系统输出不得替代执业医师的诊断、处方和治疗决策。涉及用药调整、胰岛素剂量、高风险预警或其他可能影响患者安全的事项时，应设置人工确认、权限控制、身份鉴别、记录留痕和审计追溯。</w:t>
      </w:r>
    </w:p>
    <w:p>
      <w:pPr>
        <w:spacing w:after="120" w:line="324" w:lineRule="auto"/>
        <w:ind w:firstLine="480"/>
      </w:pPr>
      <w:r>
        <w:rPr>
          <w:rFonts w:ascii="Times New Roman" w:hAnsi="Times New Roman" w:eastAsia="宋体"/>
          <w:sz w:val="24"/>
        </w:rPr>
        <w:t>技术中立原则。本标准以系统能力、接口互操作、风险控制和验证方法作为主要规范对象，不强制绑定特定中间件、数据库、流计算框架、知识图谱、机器学习模型或具体产品，避免限制技术路线创新。</w:t>
      </w:r>
    </w:p>
    <w:p>
      <w:pPr>
        <w:spacing w:after="120" w:line="324" w:lineRule="auto"/>
        <w:ind w:firstLine="480"/>
      </w:pPr>
      <w:r>
        <w:rPr>
          <w:rFonts w:ascii="Times New Roman" w:hAnsi="Times New Roman" w:eastAsia="宋体"/>
          <w:sz w:val="24"/>
        </w:rPr>
        <w:t>协调一致原则。本标准与网络安全等级保护、个人信息保护、健康医疗数据安全、数据分类分级、软件质量评价、卫生信息数据元和便携式血糖检测质量管理等现行标准保持衔接，同时与医疗器械软件、人工智能医疗器械和医疗器械网络安全注册审查要求保持一致。</w:t>
      </w:r>
    </w:p>
    <w:p>
      <w:pPr>
        <w:spacing w:after="120" w:line="324" w:lineRule="auto"/>
        <w:ind w:firstLine="480"/>
      </w:pPr>
      <w:r>
        <w:rPr>
          <w:rFonts w:ascii="Times New Roman" w:hAnsi="Times New Roman" w:eastAsia="宋体"/>
          <w:sz w:val="24"/>
        </w:rPr>
        <w:t>可操作、可验证原则。本标准中的技术要求能够通过文档审查、配置核验、接口测试、性能测试、安全测试、日志审计或运行数据统计进行验证，避免仅提出原则性、倡导性或难以检查的要求。</w:t>
      </w:r>
    </w:p>
    <w:p>
      <w:pPr>
        <w:widowControl/>
        <w:numPr>
          <w:ilvl w:val="0"/>
          <w:numId w:val="0"/>
        </w:numPr>
        <w:spacing w:line="360" w:lineRule="auto"/>
        <w:ind w:leftChars="200"/>
        <w:jc w:val="left"/>
        <w:rPr>
          <w:rFonts w:hint="eastAsia" w:asciiTheme="minorEastAsia" w:hAnsiTheme="minorEastAsia" w:eastAsiaTheme="minorEastAsia" w:cstheme="minorEastAsia"/>
          <w:b w:val="0"/>
          <w:bCs w:val="0"/>
          <w:color w:val="auto"/>
          <w:sz w:val="24"/>
          <w:highlight w:val="none"/>
        </w:rPr>
      </w:pPr>
    </w:p>
    <w:p>
      <w:pPr>
        <w:pStyle w:val="2"/>
        <w:bidi w:val="0"/>
      </w:pPr>
      <w:r>
        <w:rPr>
          <w:rFonts w:hint="eastAsia"/>
        </w:rPr>
        <w:t>标准主要条文或技术内容的依据；专利情况说明；修订标准应说明新旧标准水平的对比情况。</w:t>
      </w:r>
    </w:p>
    <w:p>
      <w:pPr>
        <w:bidi w:val="0"/>
        <w:outlineLvl w:val="9"/>
        <w:rPr>
          <w:rFonts w:hint="eastAsia" w:eastAsia="宋体"/>
          <w:b/>
          <w:bCs/>
          <w:lang w:eastAsia="zh-CN"/>
        </w:rPr>
      </w:pPr>
      <w:r>
        <w:rPr>
          <w:b/>
          <w:bCs/>
          <w:sz w:val="24"/>
        </w:rPr>
        <w:t>主要技术内容及依据</w:t>
      </w:r>
      <w:r>
        <w:rPr>
          <w:rFonts w:hint="eastAsia"/>
          <w:b/>
          <w:bCs/>
          <w:sz w:val="24"/>
          <w:lang w:eastAsia="zh-CN"/>
        </w:rPr>
        <w:t>：</w:t>
      </w:r>
    </w:p>
    <w:p>
      <w:pPr>
        <w:spacing w:after="120" w:line="324" w:lineRule="auto"/>
        <w:ind w:firstLine="480"/>
      </w:pPr>
      <w:r>
        <w:rPr>
          <w:rFonts w:ascii="Times New Roman" w:hAnsi="Times New Roman" w:eastAsia="宋体"/>
          <w:sz w:val="24"/>
        </w:rPr>
        <w:t>总体技术架构依据多源数据接入、专病数据治理、辅助决策、预警闭环和运行支撑的业务链条确定，采用感知接入层、数据治理层、算法与规则层、业务应用层、安全与运维支撑层的分层框架。</w:t>
      </w:r>
    </w:p>
    <w:p>
      <w:pPr>
        <w:spacing w:after="120" w:line="324" w:lineRule="auto"/>
        <w:ind w:firstLine="480"/>
        <w:rPr>
          <w:rFonts w:ascii="Times New Roman" w:hAnsi="Times New Roman" w:eastAsia="宋体"/>
          <w:sz w:val="24"/>
        </w:rPr>
      </w:pPr>
      <w:r>
        <w:rPr>
          <w:rFonts w:ascii="Times New Roman" w:hAnsi="Times New Roman" w:eastAsia="宋体"/>
          <w:sz w:val="24"/>
        </w:rPr>
        <w:t>数据接入与治理要求主要依据WS/T 363、WS/T 364、WS/T 447、GB/T 37722、GB/T 39725、GB/T 43697以及连续葡萄糖监测和血糖监测相关指南确定。智能化辅助决策与算法要求依据糖尿病防治指南、血糖监测指南、临床决策支持系统应用原则、医疗器械软件和人工智能医疗器械注册审查相关指导原则确定。标准要求CDSS规则库、知识库、风险模型和预警策略基于临床指南、专家共识、药品说明书、医疗机构制度或经验证研究证据建立。预警与闭环处置要求依据糖尿病急慢性风险管理需求、CGM/TIR指标应用共识和医疗安全管理要求确定。网络安全、数据安全与个人信息保护要求主要依据GB/T 22239、GB/T 35273、GB/T 39725、GB/T 42018、GB/T 43697以及网络安全、数据安全和个人信息保护相关法律法规确定。运行支撑和评价指标依据软件质量评价、互联网医疗系统运行保障、物联网数据接入、临床辅助决策应用和专家讨论意见确定。</w:t>
      </w:r>
    </w:p>
    <w:p>
      <w:pPr>
        <w:spacing w:after="120" w:line="324" w:lineRule="auto"/>
        <w:ind w:firstLine="480"/>
        <w:rPr>
          <w:rFonts w:hint="eastAsia" w:eastAsia="宋体"/>
          <w:b/>
          <w:bCs/>
          <w:lang w:eastAsia="zh-CN"/>
        </w:rPr>
      </w:pPr>
      <w:r>
        <w:rPr>
          <w:b/>
          <w:bCs/>
          <w:sz w:val="24"/>
        </w:rPr>
        <w:t>专利情况说明</w:t>
      </w:r>
      <w:r>
        <w:rPr>
          <w:rFonts w:hint="eastAsia"/>
          <w:b/>
          <w:bCs/>
          <w:sz w:val="24"/>
          <w:lang w:eastAsia="zh-CN"/>
        </w:rPr>
        <w:t>：</w:t>
      </w:r>
    </w:p>
    <w:p>
      <w:pPr>
        <w:spacing w:after="120" w:line="324" w:lineRule="auto"/>
        <w:ind w:firstLine="480"/>
        <w:rPr>
          <w:rFonts w:ascii="Times New Roman" w:hAnsi="Times New Roman" w:eastAsia="宋体"/>
          <w:sz w:val="24"/>
        </w:rPr>
      </w:pPr>
      <w:r>
        <w:rPr>
          <w:rFonts w:ascii="Times New Roman" w:hAnsi="Times New Roman" w:eastAsia="宋体"/>
          <w:sz w:val="24"/>
        </w:rPr>
        <w:t>本标准未强制采用特定专利技术、专有算法、指定产品、指定中间件或指定平台架构。截至本编制说明形成时，起草组未发现本标准核心条款涉及必须使用的专利。标准发布机构不承担识别专利的责任；如后续实施过程中发现涉及专利，应按国家有关标准化和知识产权管理规定处理。</w:t>
      </w:r>
    </w:p>
    <w:p>
      <w:pPr>
        <w:spacing w:after="120" w:line="324" w:lineRule="auto"/>
        <w:ind w:firstLine="480"/>
        <w:rPr>
          <w:rFonts w:hint="eastAsia" w:eastAsia="宋体"/>
          <w:b/>
          <w:bCs/>
          <w:lang w:eastAsia="zh-CN"/>
        </w:rPr>
      </w:pPr>
      <w:r>
        <w:rPr>
          <w:b/>
          <w:bCs/>
          <w:sz w:val="24"/>
        </w:rPr>
        <w:t>新旧标准水平对比</w:t>
      </w:r>
      <w:r>
        <w:rPr>
          <w:rFonts w:hint="eastAsia"/>
          <w:b/>
          <w:bCs/>
          <w:sz w:val="24"/>
          <w:lang w:eastAsia="zh-CN"/>
        </w:rPr>
        <w:t>：</w:t>
      </w:r>
    </w:p>
    <w:p>
      <w:pPr>
        <w:spacing w:after="120" w:line="324" w:lineRule="auto"/>
        <w:ind w:firstLine="480"/>
      </w:pPr>
      <w:r>
        <w:rPr>
          <w:rFonts w:ascii="Times New Roman" w:hAnsi="Times New Roman" w:eastAsia="宋体"/>
          <w:sz w:val="24"/>
        </w:rPr>
        <w:t>本标准为新制定团体标准，不存在对现行团体标准、行业标准或国家标准的修订替代关系，因此不涉及新旧标准水平对比。</w:t>
      </w:r>
    </w:p>
    <w:p>
      <w:pPr>
        <w:widowControl/>
        <w:numPr>
          <w:ilvl w:val="0"/>
          <w:numId w:val="0"/>
        </w:numPr>
        <w:spacing w:line="360" w:lineRule="auto"/>
        <w:ind w:leftChars="200"/>
        <w:jc w:val="left"/>
        <w:rPr>
          <w:rFonts w:hint="eastAsia" w:asciiTheme="minorEastAsia" w:hAnsiTheme="minorEastAsia" w:eastAsiaTheme="minorEastAsia" w:cstheme="minorEastAsia"/>
          <w:b w:val="0"/>
          <w:bCs w:val="0"/>
          <w:color w:val="auto"/>
          <w:sz w:val="24"/>
          <w:highlight w:val="none"/>
        </w:rPr>
      </w:pPr>
    </w:p>
    <w:p>
      <w:pPr>
        <w:pStyle w:val="2"/>
        <w:bidi w:val="0"/>
        <w:rPr>
          <w:rFonts w:hint="eastAsia"/>
        </w:rPr>
      </w:pPr>
      <w:r>
        <w:rPr>
          <w:rFonts w:hint="eastAsia"/>
        </w:rPr>
        <w:t>主要试验、验证及试行结果。</w:t>
      </w:r>
    </w:p>
    <w:p>
      <w:pPr>
        <w:bidi w:val="0"/>
      </w:pPr>
      <w:r>
        <w:t>本标准属于系统技术架构与运行支撑要求类标准，不涉及药物、器械或治疗方案的临床试验。本标准主要通过文献检索、标准对标、专家访谈、起草专家组会议讨论、文本一致性审查和条款可验证性审查进行论证。</w:t>
      </w:r>
    </w:p>
    <w:p>
      <w:pPr>
        <w:bidi w:val="0"/>
        <w:rPr>
          <w:rFonts w:hint="eastAsia"/>
        </w:rPr>
      </w:pPr>
      <w:r>
        <w:t>在验证方面，起草组重点核查了标准条款是否能够通过文档审查、配置核验、接口测试、性能测试、安全测试、日志审计或运行数据统计进行验证。</w:t>
      </w:r>
    </w:p>
    <w:p>
      <w:pPr>
        <w:rPr>
          <w:rFonts w:hint="eastAsia"/>
        </w:rPr>
      </w:pPr>
    </w:p>
    <w:p>
      <w:pPr>
        <w:pStyle w:val="2"/>
        <w:bidi w:val="0"/>
        <w:rPr>
          <w:rFonts w:hint="eastAsia"/>
        </w:rPr>
      </w:pPr>
      <w:r>
        <w:rPr>
          <w:rFonts w:hint="eastAsia"/>
        </w:rPr>
        <w:t>采用国际标准或国外先进标准的情况。</w:t>
      </w:r>
    </w:p>
    <w:p>
      <w:pPr>
        <w:spacing w:after="120" w:line="324" w:lineRule="auto"/>
        <w:ind w:firstLine="480"/>
      </w:pPr>
      <w:r>
        <w:rPr>
          <w:rFonts w:ascii="Times New Roman" w:hAnsi="Times New Roman" w:eastAsia="宋体"/>
          <w:sz w:val="24"/>
        </w:rPr>
        <w:t>本标准未等同采用或修改采用国际标准、国外先进标准。编制过程中参考借鉴了ISO/TR 11147:2023《Health informatics - Personalized digital health - Digital therapeutics health software systems》、ISO 14971:2019《Medical devices - Application of risk management to medical devices》、IEC 81001-5-1:2021《Health software and health IT systems safety, effectiveness and security - Part 5-1: Security - Activities in the product life cycle》等文件。</w:t>
      </w:r>
    </w:p>
    <w:p>
      <w:pPr>
        <w:rPr>
          <w:rFonts w:ascii="Times New Roman" w:hAnsi="Times New Roman" w:eastAsia="宋体"/>
          <w:sz w:val="24"/>
        </w:rPr>
      </w:pPr>
      <w:r>
        <w:rPr>
          <w:rFonts w:ascii="Times New Roman" w:hAnsi="Times New Roman" w:eastAsia="宋体"/>
          <w:sz w:val="24"/>
        </w:rPr>
        <w:t>上述国际标准和国外先进文件主要为本标准在健康软件安全、软件生命周期、风险管理、互操作、个人健康设备数据交换和产品安全方面提供参考。本标准结合我国糖尿病慢病管理、互联网诊疗、网络安全等级保护、健康医疗数据安全、个人信息保护和医疗器械监管要求进行转化吸收，形成适用于我国糖尿病数字健康干预系统建设和运行支撑的团体标准。</w:t>
      </w:r>
    </w:p>
    <w:p>
      <w:pPr>
        <w:rPr>
          <w:rFonts w:hint="eastAsia" w:ascii="Times New Roman" w:hAnsi="Times New Roman" w:eastAsia="宋体"/>
          <w:sz w:val="24"/>
        </w:rPr>
      </w:pPr>
    </w:p>
    <w:p>
      <w:pPr>
        <w:pStyle w:val="2"/>
        <w:bidi w:val="0"/>
        <w:rPr>
          <w:rFonts w:hint="eastAsia"/>
        </w:rPr>
      </w:pPr>
      <w:r>
        <w:rPr>
          <w:rFonts w:hint="eastAsia"/>
        </w:rPr>
        <w:t>与现行法律法规、强制性标准和其他有关标准的关系（推荐性国家标准、推荐性行业标准、团体标准、国际标准和国外先进标准等）。</w:t>
      </w:r>
    </w:p>
    <w:p>
      <w:pPr>
        <w:spacing w:after="120" w:line="324" w:lineRule="auto"/>
        <w:ind w:firstLine="480"/>
      </w:pPr>
      <w:r>
        <w:rPr>
          <w:rFonts w:ascii="Times New Roman" w:hAnsi="Times New Roman" w:eastAsia="宋体"/>
          <w:sz w:val="24"/>
        </w:rPr>
        <w:t>本标准与《中华人民共和国基本医疗卫生与健康促进法》《中华人民共和国医师法》《中华人民共和国网络安全法》《中华人民共和国数据安全法》《中华人民共和国个人信息保护法》等法律法规保持一致，强调医疗安全边界、数据安全和个人信息保护要求。</w:t>
      </w:r>
    </w:p>
    <w:p>
      <w:pPr>
        <w:spacing w:after="120" w:line="324" w:lineRule="auto"/>
        <w:ind w:firstLine="480"/>
        <w:rPr>
          <w:rFonts w:ascii="Times New Roman" w:hAnsi="Times New Roman" w:eastAsia="宋体"/>
          <w:sz w:val="24"/>
        </w:rPr>
      </w:pPr>
      <w:r>
        <w:rPr>
          <w:rFonts w:ascii="Times New Roman" w:hAnsi="Times New Roman" w:eastAsia="宋体"/>
          <w:sz w:val="24"/>
        </w:rPr>
        <w:t>本标准与互联网诊疗、医疗质量安全、电子病历、医疗器械软件、人工智能医疗器械和医疗器械网络安全注册审查相关管理要求保持衔接。</w:t>
      </w:r>
    </w:p>
    <w:p>
      <w:pPr>
        <w:spacing w:after="120" w:line="324" w:lineRule="auto"/>
        <w:ind w:firstLine="480"/>
      </w:pPr>
      <w:r>
        <w:rPr>
          <w:rFonts w:ascii="Times New Roman" w:hAnsi="Times New Roman" w:eastAsia="宋体"/>
          <w:sz w:val="24"/>
        </w:rPr>
        <w:t>本标准引用或参考GB/T 22239-2019、GB/T 25000.51-2016、GB/T 35273-2020、GB/T 37722-2019、GB/T 39725-2020、GB/T 42018-2022、GB/T 43697-2024、WS/T 363、WS/T 364、WS/T 447-2014等标准，与相关国家标准、行业标准在网络安全、个人信息保护、健康医疗数据安全、数据分类分级、软件质量评价、卫生信息数据元和值域代码、便携式血糖检测质量管理等方面保持协调。</w:t>
      </w:r>
    </w:p>
    <w:p>
      <w:pPr>
        <w:rPr>
          <w:rFonts w:ascii="Times New Roman" w:hAnsi="Times New Roman" w:eastAsia="宋体"/>
          <w:sz w:val="24"/>
        </w:rPr>
      </w:pPr>
      <w:r>
        <w:rPr>
          <w:rFonts w:ascii="Times New Roman" w:hAnsi="Times New Roman" w:eastAsia="宋体"/>
          <w:sz w:val="24"/>
        </w:rPr>
        <w:t>本标准为推荐性团体标准，与现行强制性标准不存在冲突。如实施对象涉及强制性国家标准、强制性行业要求、医疗器械注册审查要求或医疗机构内部管理制度，应优先满足相应强制性要求和监管要求。</w:t>
      </w:r>
    </w:p>
    <w:p>
      <w:pPr>
        <w:rPr>
          <w:rFonts w:hint="eastAsia" w:ascii="Times New Roman" w:hAnsi="Times New Roman" w:eastAsia="宋体"/>
          <w:sz w:val="24"/>
        </w:rPr>
      </w:pPr>
    </w:p>
    <w:p>
      <w:pPr>
        <w:pStyle w:val="2"/>
        <w:bidi w:val="0"/>
        <w:rPr>
          <w:rFonts w:hint="eastAsia"/>
        </w:rPr>
      </w:pPr>
      <w:r>
        <w:rPr>
          <w:rFonts w:hint="eastAsia"/>
        </w:rPr>
        <w:t>重大分歧或重难点的处理经过和依据。</w:t>
      </w:r>
    </w:p>
    <w:p>
      <w:pPr>
        <w:spacing w:after="120" w:line="324" w:lineRule="auto"/>
        <w:ind w:firstLine="480"/>
        <w:rPr>
          <w:rFonts w:hint="eastAsia"/>
        </w:rPr>
      </w:pPr>
      <w:r>
        <w:rPr>
          <w:rFonts w:ascii="Times New Roman" w:hAnsi="Times New Roman" w:eastAsia="宋体"/>
          <w:sz w:val="24"/>
        </w:rPr>
        <w:t>关于标准定位和边界。专家意见曾提出本标准应注意与“糖尿病全周期数字健康管理服务规范”等服务流程类标准的边界。起草组经研究后，将本标准定位为系统技术架构与运行支撑要求，重点规定系统能力、数据治理、辅助决策、预警闭环、安全合规、运维保障和评价方法，不规定具体服务流程和诊疗方案，从而降低与服务规范和临床指南的重复。经讨论和修改，起草组未形成无法协调的重大分歧。相关意见已在标准文本中通过明确范围边界、弱化具体技术绑定、强化医疗安全、完善数据治理和增加可验证要求等方式处理</w:t>
      </w:r>
    </w:p>
    <w:p>
      <w:pPr>
        <w:pStyle w:val="2"/>
        <w:bidi w:val="0"/>
        <w:rPr>
          <w:rFonts w:hint="eastAsia"/>
        </w:rPr>
      </w:pPr>
      <w:r>
        <w:rPr>
          <w:rFonts w:hint="eastAsia"/>
        </w:rPr>
        <w:t>作为强制性标准或推荐性标准的建议。</w:t>
      </w:r>
    </w:p>
    <w:p>
      <w:pPr>
        <w:spacing w:after="120" w:line="324" w:lineRule="auto"/>
        <w:ind w:firstLine="480"/>
        <w:rPr>
          <w:rFonts w:hint="eastAsia"/>
        </w:rPr>
      </w:pPr>
      <w:r>
        <w:rPr>
          <w:rFonts w:ascii="Times New Roman" w:hAnsi="Times New Roman" w:eastAsia="宋体"/>
          <w:sz w:val="24"/>
        </w:rPr>
        <w:t>建议本标准作为推荐性团体标准发布实施。本标准面向糖尿病数字健康干预系统的设计、研发、测试、部署、运行维护和技术评价，具有行业引导和自律规范属性，不宜作为强制性标准。标准实施过程中，相关单位可根据项目规模、服务对象、系统风险等级、是否涉及互联网诊疗、是否处理大规模健康医疗数据、是否涉及医疗器械软件或人工智能医疗器械等因素，结合国家法律法规、强制性标准和监管要求自愿采用。</w:t>
      </w:r>
    </w:p>
    <w:p>
      <w:pPr>
        <w:pStyle w:val="2"/>
        <w:bidi w:val="0"/>
        <w:rPr>
          <w:rFonts w:hint="eastAsia"/>
        </w:rPr>
      </w:pPr>
      <w:r>
        <w:rPr>
          <w:rFonts w:hint="eastAsia"/>
        </w:rPr>
        <w:t>贯彻该标准的要求、措施建议及预期效果。</w:t>
      </w:r>
    </w:p>
    <w:p>
      <w:pPr>
        <w:spacing w:after="120" w:line="324" w:lineRule="auto"/>
        <w:ind w:firstLine="480"/>
        <w:rPr>
          <w:rFonts w:hint="eastAsia" w:eastAsia="宋体"/>
          <w:lang w:eastAsia="zh-CN"/>
        </w:rPr>
      </w:pPr>
      <w:r>
        <w:rPr>
          <w:rFonts w:ascii="Times New Roman" w:hAnsi="Times New Roman" w:eastAsia="宋体"/>
          <w:sz w:val="24"/>
        </w:rPr>
        <w:t>标准发布后，建议由归口单位组织宣贯培训</w:t>
      </w:r>
      <w:r>
        <w:rPr>
          <w:rFonts w:hint="eastAsia"/>
          <w:sz w:val="24"/>
          <w:lang w:eastAsia="zh-CN"/>
        </w:rPr>
        <w:t>。</w:t>
      </w:r>
    </w:p>
    <w:p>
      <w:pPr>
        <w:spacing w:after="120" w:line="324" w:lineRule="auto"/>
        <w:ind w:firstLine="480"/>
      </w:pPr>
      <w:r>
        <w:rPr>
          <w:rFonts w:ascii="Times New Roman" w:hAnsi="Times New Roman" w:eastAsia="宋体"/>
          <w:sz w:val="24"/>
        </w:rPr>
        <w:t>建议结合不同应用场景开展试点应用，形成面向医疗机构部署、互联网诊疗配套系统、患者端应用、设备平台接入、第三方慢病管理平台等场景的实施指南、检查表和评价工具，推动标准要求落地。</w:t>
      </w:r>
    </w:p>
    <w:p>
      <w:pPr>
        <w:rPr>
          <w:rFonts w:hint="eastAsia"/>
        </w:rPr>
      </w:pPr>
      <w:r>
        <w:rPr>
          <w:rFonts w:ascii="Times New Roman" w:hAnsi="Times New Roman" w:eastAsia="宋体"/>
          <w:sz w:val="24"/>
        </w:rPr>
        <w:t>预期通过标准实施，可提升糖尿病数字健康干预系统的架构规范性、数据质量、互操作能力、辅助决策安全性、预警闭环完整性、个人信息保护水平和运行可靠性，降低系统建设和评价中的随意性，为糖尿病慢病管理数字化转型提供标准化支撑。</w:t>
      </w:r>
    </w:p>
    <w:p>
      <w:pPr>
        <w:pStyle w:val="2"/>
        <w:bidi w:val="0"/>
        <w:rPr>
          <w:rFonts w:hint="eastAsia"/>
        </w:rPr>
      </w:pPr>
      <w:r>
        <w:rPr>
          <w:rFonts w:hint="eastAsia"/>
        </w:rPr>
        <w:t>废止或代替现行相关标准的建议。</w:t>
      </w:r>
    </w:p>
    <w:p>
      <w:pPr>
        <w:spacing w:after="120" w:line="324" w:lineRule="auto"/>
        <w:ind w:firstLine="480"/>
      </w:pPr>
      <w:r>
        <w:rPr>
          <w:rFonts w:ascii="Times New Roman" w:hAnsi="Times New Roman" w:eastAsia="宋体"/>
          <w:sz w:val="24"/>
        </w:rPr>
        <w:t>本标准为新制定团体标准，不废止、不代替现行国家标准、行业标准、地方标准或团体标准。与本标准相关的现行法律法规、强制性标准、推荐性国家标准、行业标准和监管文件仍按其规定执行。</w:t>
      </w:r>
    </w:p>
    <w:p>
      <w:pPr>
        <w:pStyle w:val="2"/>
        <w:bidi w:val="0"/>
        <w:rPr>
          <w:rFonts w:hint="eastAsia"/>
        </w:rPr>
      </w:pPr>
      <w:r>
        <w:rPr>
          <w:rFonts w:hint="eastAsia"/>
        </w:rPr>
        <w:t>其他应予说明的事项。</w:t>
      </w:r>
    </w:p>
    <w:p>
      <w:pPr>
        <w:spacing w:after="120" w:line="324" w:lineRule="auto"/>
        <w:ind w:firstLine="480"/>
      </w:pPr>
      <w:r>
        <w:rPr>
          <w:rFonts w:ascii="Times New Roman" w:hAnsi="Times New Roman" w:eastAsia="宋体"/>
          <w:sz w:val="24"/>
        </w:rPr>
        <w:t>本标准编制过程中，起草组坚持公开、透明、协商一致和技术中立原则，未设置排除、限制相关市场主体参与的条款，未强制使用特定企业产品、平台、接口、算法或服务。</w:t>
      </w:r>
    </w:p>
    <w:p>
      <w:pPr>
        <w:widowControl/>
        <w:ind w:left="0" w:leftChars="0" w:firstLine="0" w:firstLineChars="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5F8410"/>
    <w:multiLevelType w:val="multilevel"/>
    <w:tmpl w:val="F25F8410"/>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761E623"/>
    <w:multiLevelType w:val="multilevel"/>
    <w:tmpl w:val="0761E623"/>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pStyle w:val="4"/>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5ZDQzMmM1NGQ5NTBjMjE5MWVkZjVmNTQ4MWU2MjkifQ=="/>
  </w:docVars>
  <w:rsids>
    <w:rsidRoot w:val="76F57A64"/>
    <w:rsid w:val="0D6464C9"/>
    <w:rsid w:val="34E66C44"/>
    <w:rsid w:val="42511400"/>
    <w:rsid w:val="566E17BC"/>
    <w:rsid w:val="72575424"/>
    <w:rsid w:val="76F57A64"/>
    <w:rsid w:val="7A011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numPr>
        <w:ilvl w:val="0"/>
        <w:numId w:val="1"/>
      </w:numPr>
      <w:spacing w:before="120" w:after="120" w:line="360" w:lineRule="auto"/>
      <w:ind w:firstLineChars="0"/>
      <w:outlineLvl w:val="0"/>
    </w:pPr>
    <w:rPr>
      <w:rFonts w:asciiTheme="majorAscii" w:hAnsiTheme="majorAscii" w:cstheme="majorBidi"/>
      <w:b/>
      <w:bCs/>
      <w:color w:val="000000"/>
      <w:szCs w:val="28"/>
      <w:lang w:eastAsia="en-US"/>
    </w:rPr>
  </w:style>
  <w:style w:type="paragraph" w:styleId="3">
    <w:name w:val="heading 2"/>
    <w:basedOn w:val="1"/>
    <w:next w:val="1"/>
    <w:semiHidden/>
    <w:unhideWhenUsed/>
    <w:qFormat/>
    <w:uiPriority w:val="0"/>
    <w:pPr>
      <w:keepNext/>
      <w:keepLines/>
      <w:numPr>
        <w:ilvl w:val="1"/>
        <w:numId w:val="1"/>
      </w:numPr>
      <w:spacing w:beforeLines="0" w:beforeAutospacing="0" w:afterLines="0" w:afterAutospacing="0" w:line="360" w:lineRule="auto"/>
      <w:ind w:left="0" w:firstLine="0"/>
      <w:outlineLvl w:val="1"/>
    </w:pPr>
    <w:rPr>
      <w:b/>
      <w:sz w:val="24"/>
    </w:rPr>
  </w:style>
  <w:style w:type="paragraph" w:styleId="4">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0" w:firstLine="402"/>
      <w:outlineLvl w:val="8"/>
    </w:pPr>
    <w:rPr>
      <w:rFonts w:ascii="Arial" w:hAnsi="Arial" w:eastAsia="黑体"/>
      <w:sz w:val="21"/>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4379</Words>
  <Characters>4817</Characters>
  <Lines>0</Lines>
  <Paragraphs>0</Paragraphs>
  <TotalTime>0</TotalTime>
  <ScaleCrop>false</ScaleCrop>
  <LinksUpToDate>false</LinksUpToDate>
  <CharactersWithSpaces>4881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2024-10-28T07:06:00Z</dcterms:created>
  <dc:creator>W HY</dc:creator>
  <cp:lastModifiedBy>明</cp:lastModifiedBy>
  <dcterms:modified xsi:type="dcterms:W3CDTF">2026-07-07T00:42:01Z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D908F30A8007490D94ECA9F7AC2D74F2_11</vt:lpwstr>
  </property>
  <property fmtid="{D5CDD505-2E9C-101B-9397-08002B2CF9AE}" pid="4" name="KSOTemplateDocerSaveRecord">
    <vt:lpwstr>eyJoZGlkIjoiMTUxNDZhNzM4MWU5MDY1MTgxZDAwZTkyYzNjZjU5MmIiLCJ1c2VySWQiOiIzMDkxMTQyNjYifQ==</vt:lpwstr>
  </property>
</Properties>
</file>