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Times New Roman" w:hAnsi="Times New Roman" w:eastAsia="宋体" w:cs="Times New Roman"/>
          <w:szCs w:val="20"/>
        </w:rPr>
      </w:pPr>
    </w:p>
    <w:p>
      <w:pPr>
        <w:spacing w:line="400" w:lineRule="exact"/>
        <w:ind w:firstLine="0" w:firstLineChars="0"/>
        <w:jc w:val="left"/>
        <w:rPr>
          <w:rFonts w:hint="eastAsia" w:ascii="仿宋" w:hAnsi="宋体" w:eastAsia="仿宋"/>
          <w:sz w:val="28"/>
          <w:szCs w:val="28"/>
          <w:highlight w:val="none"/>
        </w:rPr>
      </w:pPr>
      <w:r>
        <w:rPr>
          <w:rFonts w:hint="eastAsia" w:ascii="仿宋" w:hAnsi="宋体" w:eastAsia="仿宋"/>
          <w:sz w:val="28"/>
          <w:szCs w:val="28"/>
          <w:highlight w:val="none"/>
        </w:rPr>
        <w:t>I</w:t>
      </w:r>
      <w:r>
        <w:rPr>
          <w:rFonts w:ascii="仿宋" w:hAnsi="宋体" w:eastAsia="仿宋"/>
          <w:sz w:val="28"/>
          <w:szCs w:val="28"/>
          <w:highlight w:val="none"/>
        </w:rPr>
        <w:t>CS</w:t>
      </w:r>
      <w:r>
        <w:rPr>
          <w:rFonts w:hint="eastAsia" w:ascii="仿宋" w:hAnsi="宋体" w:eastAsia="仿宋"/>
          <w:sz w:val="28"/>
          <w:szCs w:val="28"/>
          <w:highlight w:val="none"/>
        </w:rPr>
        <w:t>号</w:t>
      </w:r>
    </w:p>
    <w:p>
      <w:pPr>
        <w:spacing w:line="400" w:lineRule="exact"/>
        <w:ind w:firstLine="0" w:firstLineChars="0"/>
        <w:jc w:val="left"/>
        <w:rPr>
          <w:rFonts w:hint="eastAsia" w:ascii="仿宋" w:hAnsi="宋体" w:eastAsia="仿宋"/>
          <w:sz w:val="28"/>
          <w:szCs w:val="28"/>
          <w:highlight w:val="none"/>
        </w:rPr>
      </w:pPr>
      <w:r>
        <w:rPr>
          <w:rFonts w:hint="eastAsia" w:ascii="仿宋" w:hAnsi="宋体" w:eastAsia="仿宋"/>
          <w:sz w:val="28"/>
          <w:szCs w:val="28"/>
          <w:highlight w:val="none"/>
        </w:rPr>
        <w:t>中国标准文献分类号</w:t>
      </w:r>
    </w:p>
    <w:p>
      <w:pPr>
        <w:keepNext w:val="0"/>
        <w:keepLines w:val="0"/>
        <w:pageBreakBefore w:val="0"/>
        <w:widowControl w:val="0"/>
        <w:kinsoku/>
        <w:wordWrap/>
        <w:overflowPunct/>
        <w:topLinePunct w:val="0"/>
        <w:autoSpaceDE/>
        <w:autoSpaceDN/>
        <w:bidi w:val="0"/>
        <w:adjustRightInd/>
        <w:snapToGrid/>
        <w:spacing w:before="312" w:beforeLines="100" w:after="312" w:afterLines="100" w:line="360" w:lineRule="auto"/>
        <w:ind w:firstLine="0" w:firstLineChars="0"/>
        <w:jc w:val="center"/>
        <w:textAlignment w:val="auto"/>
        <w:rPr>
          <w:rFonts w:hint="eastAsia" w:ascii="宋体" w:hAnsi="宋体"/>
          <w:sz w:val="96"/>
          <w:szCs w:val="28"/>
          <w:highlight w:val="none"/>
        </w:rPr>
      </w:pPr>
      <w:r>
        <w:rPr>
          <w:rFonts w:hint="eastAsia" w:ascii="宋体" w:hAnsi="宋体"/>
          <w:sz w:val="96"/>
          <w:szCs w:val="28"/>
          <w:highlight w:val="none"/>
        </w:rPr>
        <w:t xml:space="preserve">团 </w:t>
      </w:r>
      <w:r>
        <w:rPr>
          <w:rFonts w:ascii="宋体" w:hAnsi="宋体"/>
          <w:sz w:val="96"/>
          <w:szCs w:val="28"/>
          <w:highlight w:val="none"/>
        </w:rPr>
        <w:t xml:space="preserve"> </w:t>
      </w:r>
      <w:r>
        <w:rPr>
          <w:rFonts w:hint="eastAsia" w:ascii="宋体" w:hAnsi="宋体"/>
          <w:sz w:val="96"/>
          <w:szCs w:val="28"/>
          <w:highlight w:val="none"/>
        </w:rPr>
        <w:t xml:space="preserve">体 </w:t>
      </w:r>
      <w:r>
        <w:rPr>
          <w:rFonts w:ascii="宋体" w:hAnsi="宋体"/>
          <w:sz w:val="96"/>
          <w:szCs w:val="28"/>
          <w:highlight w:val="none"/>
        </w:rPr>
        <w:t xml:space="preserve"> </w:t>
      </w:r>
      <w:r>
        <w:rPr>
          <w:rFonts w:hint="eastAsia" w:ascii="宋体" w:hAnsi="宋体"/>
          <w:sz w:val="96"/>
          <w:szCs w:val="28"/>
          <w:highlight w:val="none"/>
        </w:rPr>
        <w:t xml:space="preserve">标 </w:t>
      </w:r>
      <w:r>
        <w:rPr>
          <w:rFonts w:ascii="宋体" w:hAnsi="宋体"/>
          <w:sz w:val="96"/>
          <w:szCs w:val="28"/>
          <w:highlight w:val="none"/>
        </w:rPr>
        <w:t xml:space="preserve"> </w:t>
      </w:r>
      <w:r>
        <w:rPr>
          <w:rFonts w:hint="eastAsia" w:ascii="宋体" w:hAnsi="宋体"/>
          <w:sz w:val="96"/>
          <w:szCs w:val="28"/>
          <w:highlight w:val="none"/>
        </w:rPr>
        <w:t>准</w:t>
      </w:r>
    </w:p>
    <w:p>
      <w:pPr>
        <w:keepNext w:val="0"/>
        <w:keepLines w:val="0"/>
        <w:pageBreakBefore w:val="0"/>
        <w:widowControl w:val="0"/>
        <w:kinsoku/>
        <w:wordWrap/>
        <w:overflowPunct/>
        <w:topLinePunct w:val="0"/>
        <w:autoSpaceDE/>
        <w:autoSpaceDN/>
        <w:bidi w:val="0"/>
        <w:adjustRightInd/>
        <w:snapToGrid/>
        <w:spacing w:line="360" w:lineRule="auto"/>
        <w:ind w:firstLine="440"/>
        <w:jc w:val="right"/>
        <w:textAlignment w:val="auto"/>
        <w:rPr>
          <w:rFonts w:hint="eastAsia" w:ascii="黑体" w:hAnsi="黑体" w:eastAsia="黑体"/>
          <w:sz w:val="22"/>
          <w:szCs w:val="28"/>
          <w:highlight w:val="none"/>
        </w:rPr>
      </w:pPr>
      <w:r>
        <w:rPr>
          <w:rFonts w:hint="eastAsia" w:ascii="黑体" w:hAnsi="黑体" w:eastAsia="黑体"/>
          <w:sz w:val="22"/>
          <w:szCs w:val="28"/>
          <w:highlight w:val="none"/>
        </w:rPr>
        <w:t>团体标准编号T</w:t>
      </w:r>
      <w:r>
        <w:rPr>
          <w:rFonts w:ascii="黑体" w:hAnsi="黑体" w:eastAsia="黑体"/>
          <w:sz w:val="22"/>
          <w:szCs w:val="28"/>
          <w:highlight w:val="none"/>
        </w:rPr>
        <w:t>/</w:t>
      </w:r>
      <w:r>
        <w:rPr>
          <w:rFonts w:hint="eastAsia" w:ascii="黑体" w:hAnsi="黑体" w:eastAsia="黑体"/>
          <w:sz w:val="22"/>
          <w:szCs w:val="28"/>
          <w:highlight w:val="none"/>
        </w:rPr>
        <w:t>BRA-CDCHE</w:t>
      </w:r>
      <w:r>
        <w:rPr>
          <w:rFonts w:hint="eastAsia"/>
          <w:highlight w:val="none"/>
        </w:rPr>
        <w:t>/</w:t>
      </w:r>
      <w:r>
        <w:rPr>
          <w:rFonts w:ascii="黑体" w:hAnsi="黑体" w:eastAsia="黑体"/>
          <w:sz w:val="22"/>
          <w:szCs w:val="28"/>
          <w:highlight w:val="none"/>
        </w:rPr>
        <w:t xml:space="preserve"> XXXX-XXXX</w:t>
      </w:r>
    </w:p>
    <w:p>
      <w:pPr>
        <w:keepNext w:val="0"/>
        <w:keepLines w:val="0"/>
        <w:pageBreakBefore w:val="0"/>
        <w:widowControl w:val="0"/>
        <w:kinsoku/>
        <w:wordWrap/>
        <w:overflowPunct/>
        <w:topLinePunct w:val="0"/>
        <w:autoSpaceDE/>
        <w:autoSpaceDN/>
        <w:bidi w:val="0"/>
        <w:adjustRightInd/>
        <w:snapToGrid/>
        <w:spacing w:line="360" w:lineRule="auto"/>
        <w:ind w:firstLine="440"/>
        <w:jc w:val="center"/>
        <w:textAlignment w:val="auto"/>
        <w:rPr>
          <w:rFonts w:hint="eastAsia" w:ascii="黑体" w:hAnsi="黑体" w:eastAsia="黑体"/>
          <w:sz w:val="22"/>
          <w:szCs w:val="28"/>
          <w:highlight w:val="none"/>
        </w:rPr>
      </w:pPr>
      <w:r>
        <w:rPr>
          <w:rFonts w:hint="eastAsia" w:ascii="黑体" w:hAnsi="黑体" w:eastAsia="黑体"/>
          <w:sz w:val="22"/>
          <w:szCs w:val="28"/>
          <w:highlight w:val="none"/>
        </w:rPr>
        <w:t xml:space="preserve">                                   代替的团体标准编号（修订填写）</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left"/>
        <w:textAlignment w:val="auto"/>
        <w:rPr>
          <w:rFonts w:hint="eastAsia" w:ascii="宋体" w:hAnsi="宋体"/>
          <w:sz w:val="28"/>
          <w:szCs w:val="28"/>
          <w:highlight w:val="none"/>
          <w:u w:val="single"/>
        </w:rPr>
      </w:pPr>
      <w:r>
        <w:rPr>
          <w:rFonts w:hint="eastAsia" w:ascii="宋体" w:hAnsi="宋体"/>
          <w:sz w:val="28"/>
          <w:szCs w:val="28"/>
          <w:highlight w:val="none"/>
          <w:u w:val="single"/>
        </w:rPr>
        <w:t xml:space="preserve"> </w:t>
      </w:r>
      <w:r>
        <w:rPr>
          <w:rFonts w:ascii="宋体" w:hAnsi="宋体"/>
          <w:sz w:val="28"/>
          <w:szCs w:val="28"/>
          <w:highlight w:val="none"/>
          <w:u w:val="single"/>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560"/>
        <w:jc w:val="left"/>
        <w:textAlignment w:val="auto"/>
        <w:rPr>
          <w:rFonts w:hint="eastAsia" w:ascii="宋体" w:hAnsi="宋体"/>
          <w:sz w:val="28"/>
          <w:szCs w:val="28"/>
          <w:highlight w:val="none"/>
        </w:rPr>
      </w:pPr>
    </w:p>
    <w:p>
      <w:pPr>
        <w:keepNext w:val="0"/>
        <w:keepLines w:val="0"/>
        <w:pageBreakBefore w:val="0"/>
        <w:widowControl w:val="0"/>
        <w:kinsoku/>
        <w:wordWrap/>
        <w:overflowPunct/>
        <w:topLinePunct w:val="0"/>
        <w:autoSpaceDE/>
        <w:autoSpaceDN/>
        <w:bidi w:val="0"/>
        <w:adjustRightInd/>
        <w:snapToGrid/>
        <w:spacing w:line="360" w:lineRule="auto"/>
        <w:ind w:firstLine="560"/>
        <w:jc w:val="left"/>
        <w:textAlignment w:val="auto"/>
        <w:rPr>
          <w:rFonts w:hint="eastAsia" w:ascii="宋体" w:hAnsi="宋体"/>
          <w:sz w:val="28"/>
          <w:szCs w:val="28"/>
          <w:highlight w:val="none"/>
        </w:rPr>
      </w:pP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sz w:val="28"/>
          <w:szCs w:val="28"/>
          <w:highlight w:val="none"/>
        </w:rPr>
      </w:pPr>
    </w:p>
    <w:p>
      <w:pPr>
        <w:keepNext w:val="0"/>
        <w:keepLines w:val="0"/>
        <w:pageBreakBefore w:val="0"/>
        <w:widowControl w:val="0"/>
        <w:kinsoku/>
        <w:wordWrap/>
        <w:overflowPunct/>
        <w:topLinePunct w:val="0"/>
        <w:autoSpaceDE/>
        <w:autoSpaceDN/>
        <w:bidi w:val="0"/>
        <w:adjustRightInd/>
        <w:snapToGrid/>
        <w:spacing w:line="360" w:lineRule="auto"/>
        <w:ind w:firstLine="560"/>
        <w:jc w:val="left"/>
        <w:textAlignment w:val="auto"/>
        <w:rPr>
          <w:rFonts w:hint="eastAsia" w:ascii="宋体" w:hAnsi="宋体"/>
          <w:sz w:val="28"/>
          <w:szCs w:val="28"/>
          <w:highlight w:val="none"/>
        </w:rPr>
      </w:pPr>
    </w:p>
    <w:p>
      <w:pPr>
        <w:keepNext w:val="0"/>
        <w:keepLines w:val="0"/>
        <w:pageBreakBefore w:val="0"/>
        <w:widowControl w:val="0"/>
        <w:kinsoku/>
        <w:wordWrap/>
        <w:overflowPunct/>
        <w:topLinePunct w:val="0"/>
        <w:autoSpaceDE/>
        <w:autoSpaceDN/>
        <w:bidi w:val="0"/>
        <w:adjustRightInd/>
        <w:snapToGrid/>
        <w:spacing w:line="360" w:lineRule="auto"/>
        <w:ind w:firstLine="560"/>
        <w:jc w:val="center"/>
        <w:textAlignment w:val="auto"/>
        <w:rPr>
          <w:rFonts w:hint="eastAsia" w:ascii="黑体" w:hAnsi="黑体" w:eastAsia="黑体"/>
          <w:sz w:val="52"/>
          <w:szCs w:val="28"/>
          <w:highlight w:val="none"/>
        </w:rPr>
      </w:pPr>
      <w:r>
        <w:rPr>
          <w:rFonts w:hint="eastAsia" w:ascii="黑体" w:hAnsi="黑体" w:eastAsia="黑体"/>
          <w:sz w:val="52"/>
          <w:szCs w:val="28"/>
          <w:highlight w:val="none"/>
        </w:rPr>
        <w:t>糖尿病全周期数字健康管理</w:t>
      </w:r>
    </w:p>
    <w:p>
      <w:pPr>
        <w:keepNext w:val="0"/>
        <w:keepLines w:val="0"/>
        <w:pageBreakBefore w:val="0"/>
        <w:widowControl w:val="0"/>
        <w:kinsoku/>
        <w:wordWrap/>
        <w:overflowPunct/>
        <w:topLinePunct w:val="0"/>
        <w:autoSpaceDE/>
        <w:autoSpaceDN/>
        <w:bidi w:val="0"/>
        <w:adjustRightInd/>
        <w:snapToGrid/>
        <w:spacing w:line="360" w:lineRule="auto"/>
        <w:ind w:firstLine="560"/>
        <w:jc w:val="center"/>
        <w:textAlignment w:val="auto"/>
        <w:rPr>
          <w:rFonts w:hint="eastAsia" w:ascii="黑体" w:hAnsi="黑体" w:eastAsia="黑体"/>
          <w:sz w:val="52"/>
          <w:szCs w:val="28"/>
          <w:highlight w:val="none"/>
        </w:rPr>
      </w:pPr>
      <w:r>
        <w:rPr>
          <w:rFonts w:hint="eastAsia" w:ascii="黑体" w:hAnsi="黑体" w:eastAsia="黑体"/>
          <w:sz w:val="52"/>
          <w:szCs w:val="28"/>
          <w:highlight w:val="none"/>
        </w:rPr>
        <w:t>服务规范</w:t>
      </w:r>
    </w:p>
    <w:p>
      <w:pPr>
        <w:keepNext w:val="0"/>
        <w:keepLines w:val="0"/>
        <w:pageBreakBefore w:val="0"/>
        <w:widowControl w:val="0"/>
        <w:kinsoku/>
        <w:wordWrap/>
        <w:overflowPunct/>
        <w:topLinePunct w:val="0"/>
        <w:autoSpaceDE/>
        <w:autoSpaceDN/>
        <w:bidi w:val="0"/>
        <w:adjustRightInd/>
        <w:snapToGrid/>
        <w:spacing w:line="360" w:lineRule="auto"/>
        <w:ind w:firstLine="560"/>
        <w:jc w:val="center"/>
        <w:textAlignment w:val="auto"/>
        <w:rPr>
          <w:rFonts w:hint="eastAsia" w:ascii="宋体" w:hAnsi="宋体"/>
          <w:sz w:val="28"/>
          <w:szCs w:val="28"/>
          <w:highlight w:val="none"/>
        </w:rPr>
      </w:pPr>
      <w:r>
        <w:rPr>
          <w:rFonts w:hint="eastAsia" w:ascii="等线" w:hAnsi="等线" w:eastAsia="等线"/>
          <w:sz w:val="28"/>
          <w:szCs w:val="28"/>
          <w:highlight w:val="none"/>
          <w:lang w:eastAsia="zh-CN"/>
        </w:rPr>
        <w:t xml:space="preserve">Service </w:t>
      </w:r>
      <w:r>
        <w:rPr>
          <w:rFonts w:hint="eastAsia" w:ascii="等线" w:hAnsi="等线" w:eastAsia="等线"/>
          <w:sz w:val="28"/>
          <w:szCs w:val="28"/>
          <w:highlight w:val="none"/>
          <w:lang w:val="en-US" w:eastAsia="zh-CN"/>
        </w:rPr>
        <w:t>s</w:t>
      </w:r>
      <w:r>
        <w:rPr>
          <w:rFonts w:hint="eastAsia" w:ascii="等线" w:hAnsi="等线" w:eastAsia="等线"/>
          <w:sz w:val="28"/>
          <w:szCs w:val="28"/>
          <w:highlight w:val="none"/>
        </w:rPr>
        <w:t xml:space="preserve">pecification for </w:t>
      </w:r>
      <w:r>
        <w:rPr>
          <w:rFonts w:hint="eastAsia" w:ascii="等线" w:hAnsi="等线" w:eastAsia="等线"/>
          <w:sz w:val="28"/>
          <w:szCs w:val="28"/>
          <w:highlight w:val="none"/>
          <w:lang w:val="en-US" w:eastAsia="zh-CN"/>
        </w:rPr>
        <w:t>w</w:t>
      </w:r>
      <w:r>
        <w:rPr>
          <w:rFonts w:hint="eastAsia" w:ascii="等线" w:hAnsi="等线" w:eastAsia="等线"/>
          <w:sz w:val="28"/>
          <w:szCs w:val="28"/>
          <w:highlight w:val="none"/>
        </w:rPr>
        <w:t>hole-</w:t>
      </w:r>
      <w:r>
        <w:rPr>
          <w:rFonts w:hint="eastAsia" w:ascii="等线" w:hAnsi="等线" w:eastAsia="等线"/>
          <w:sz w:val="28"/>
          <w:szCs w:val="28"/>
          <w:highlight w:val="none"/>
          <w:lang w:val="en-US" w:eastAsia="zh-CN"/>
        </w:rPr>
        <w:t>c</w:t>
      </w:r>
      <w:r>
        <w:rPr>
          <w:rFonts w:hint="eastAsia" w:ascii="等线" w:hAnsi="等线" w:eastAsia="等线"/>
          <w:sz w:val="28"/>
          <w:szCs w:val="28"/>
          <w:highlight w:val="none"/>
        </w:rPr>
        <w:t xml:space="preserve">ycle </w:t>
      </w:r>
      <w:r>
        <w:rPr>
          <w:rFonts w:hint="eastAsia" w:ascii="等线" w:hAnsi="等线" w:eastAsia="等线"/>
          <w:sz w:val="28"/>
          <w:szCs w:val="28"/>
          <w:highlight w:val="none"/>
          <w:lang w:val="en-US" w:eastAsia="zh-CN"/>
        </w:rPr>
        <w:t>d</w:t>
      </w:r>
      <w:r>
        <w:rPr>
          <w:rFonts w:hint="eastAsia" w:ascii="等线" w:hAnsi="等线" w:eastAsia="等线"/>
          <w:sz w:val="28"/>
          <w:szCs w:val="28"/>
          <w:highlight w:val="none"/>
        </w:rPr>
        <w:t xml:space="preserve">igital </w:t>
      </w:r>
      <w:r>
        <w:rPr>
          <w:rFonts w:hint="eastAsia" w:ascii="等线" w:hAnsi="等线" w:eastAsia="等线"/>
          <w:sz w:val="28"/>
          <w:szCs w:val="28"/>
          <w:highlight w:val="none"/>
          <w:lang w:val="en-US" w:eastAsia="zh-CN"/>
        </w:rPr>
        <w:t>h</w:t>
      </w:r>
      <w:r>
        <w:rPr>
          <w:rFonts w:hint="eastAsia" w:ascii="等线" w:hAnsi="等线" w:eastAsia="等线"/>
          <w:sz w:val="28"/>
          <w:szCs w:val="28"/>
          <w:highlight w:val="none"/>
        </w:rPr>
        <w:t xml:space="preserve">ealth </w:t>
      </w:r>
      <w:r>
        <w:rPr>
          <w:rFonts w:hint="eastAsia" w:ascii="等线" w:hAnsi="等线" w:eastAsia="等线"/>
          <w:sz w:val="28"/>
          <w:szCs w:val="28"/>
          <w:highlight w:val="none"/>
          <w:lang w:val="en-US" w:eastAsia="zh-CN"/>
        </w:rPr>
        <w:t>m</w:t>
      </w:r>
      <w:r>
        <w:rPr>
          <w:rFonts w:hint="eastAsia" w:ascii="等线" w:hAnsi="等线" w:eastAsia="等线"/>
          <w:sz w:val="28"/>
          <w:szCs w:val="28"/>
          <w:highlight w:val="none"/>
        </w:rPr>
        <w:t xml:space="preserve">anagement of </w:t>
      </w:r>
      <w:r>
        <w:rPr>
          <w:rFonts w:hint="eastAsia" w:ascii="等线" w:hAnsi="等线" w:eastAsia="等线"/>
          <w:sz w:val="28"/>
          <w:szCs w:val="28"/>
          <w:highlight w:val="none"/>
          <w:lang w:val="en-US" w:eastAsia="zh-CN"/>
        </w:rPr>
        <w:t>d</w:t>
      </w:r>
      <w:r>
        <w:rPr>
          <w:rFonts w:hint="eastAsia" w:ascii="等线" w:hAnsi="等线" w:eastAsia="等线"/>
          <w:sz w:val="28"/>
          <w:szCs w:val="28"/>
          <w:highlight w:val="none"/>
        </w:rPr>
        <w:t>iabetes</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left"/>
        <w:textAlignment w:val="auto"/>
        <w:rPr>
          <w:rFonts w:hint="eastAsia" w:ascii="宋体" w:hAnsi="宋体"/>
          <w:sz w:val="28"/>
          <w:szCs w:val="28"/>
          <w:highlight w:val="none"/>
        </w:rPr>
      </w:pPr>
    </w:p>
    <w:p>
      <w:pPr>
        <w:keepNext w:val="0"/>
        <w:keepLines w:val="0"/>
        <w:pageBreakBefore w:val="0"/>
        <w:widowControl w:val="0"/>
        <w:kinsoku/>
        <w:wordWrap/>
        <w:overflowPunct/>
        <w:topLinePunct w:val="0"/>
        <w:autoSpaceDE/>
        <w:autoSpaceDN/>
        <w:bidi w:val="0"/>
        <w:adjustRightInd/>
        <w:snapToGrid/>
        <w:spacing w:line="360" w:lineRule="auto"/>
        <w:ind w:firstLine="560"/>
        <w:jc w:val="left"/>
        <w:textAlignment w:val="auto"/>
        <w:rPr>
          <w:rFonts w:hint="eastAsia" w:ascii="宋体" w:hAnsi="宋体"/>
          <w:sz w:val="28"/>
          <w:szCs w:val="28"/>
          <w:highlight w:val="none"/>
        </w:rPr>
      </w:pPr>
    </w:p>
    <w:p>
      <w:pPr>
        <w:keepNext w:val="0"/>
        <w:keepLines w:val="0"/>
        <w:pageBreakBefore w:val="0"/>
        <w:widowControl w:val="0"/>
        <w:kinsoku/>
        <w:wordWrap/>
        <w:overflowPunct/>
        <w:topLinePunct w:val="0"/>
        <w:autoSpaceDE/>
        <w:autoSpaceDN/>
        <w:bidi w:val="0"/>
        <w:adjustRightInd/>
        <w:snapToGrid/>
        <w:spacing w:line="360" w:lineRule="auto"/>
        <w:ind w:firstLine="560"/>
        <w:jc w:val="left"/>
        <w:textAlignment w:val="auto"/>
        <w:rPr>
          <w:rFonts w:hint="eastAsia" w:ascii="宋体" w:hAnsi="宋体"/>
          <w:sz w:val="28"/>
          <w:szCs w:val="28"/>
          <w:highlight w:val="none"/>
        </w:rPr>
      </w:pPr>
    </w:p>
    <w:p>
      <w:pPr>
        <w:keepNext w:val="0"/>
        <w:keepLines w:val="0"/>
        <w:pageBreakBefore w:val="0"/>
        <w:widowControl w:val="0"/>
        <w:kinsoku/>
        <w:wordWrap/>
        <w:overflowPunct/>
        <w:topLinePunct w:val="0"/>
        <w:autoSpaceDE/>
        <w:autoSpaceDN/>
        <w:bidi w:val="0"/>
        <w:adjustRightInd/>
        <w:snapToGrid/>
        <w:spacing w:line="360" w:lineRule="auto"/>
        <w:ind w:firstLine="280" w:firstLineChars="100"/>
        <w:jc w:val="left"/>
        <w:textAlignment w:val="auto"/>
        <w:rPr>
          <w:rFonts w:hint="eastAsia" w:ascii="宋体" w:hAnsi="宋体"/>
          <w:sz w:val="28"/>
          <w:szCs w:val="28"/>
          <w:highlight w:val="none"/>
        </w:rPr>
      </w:pPr>
      <w:r>
        <w:rPr>
          <w:rFonts w:hint="eastAsia" w:ascii="宋体" w:hAnsi="宋体"/>
          <w:sz w:val="28"/>
          <w:szCs w:val="28"/>
          <w:highlight w:val="none"/>
        </w:rPr>
        <w:t>X</w:t>
      </w:r>
      <w:r>
        <w:rPr>
          <w:rFonts w:ascii="宋体" w:hAnsi="宋体"/>
          <w:sz w:val="28"/>
          <w:szCs w:val="28"/>
          <w:highlight w:val="none"/>
        </w:rPr>
        <w:t>XXX</w:t>
      </w:r>
      <w:r>
        <w:rPr>
          <w:rFonts w:hint="eastAsia" w:ascii="宋体" w:hAnsi="宋体"/>
          <w:sz w:val="28"/>
          <w:szCs w:val="28"/>
          <w:highlight w:val="none"/>
        </w:rPr>
        <w:t>年X</w:t>
      </w:r>
      <w:r>
        <w:rPr>
          <w:rFonts w:ascii="宋体" w:hAnsi="宋体"/>
          <w:sz w:val="28"/>
          <w:szCs w:val="28"/>
          <w:highlight w:val="none"/>
        </w:rPr>
        <w:t>X</w:t>
      </w:r>
      <w:r>
        <w:rPr>
          <w:rFonts w:hint="eastAsia" w:ascii="宋体" w:hAnsi="宋体"/>
          <w:sz w:val="28"/>
          <w:szCs w:val="28"/>
          <w:highlight w:val="none"/>
        </w:rPr>
        <w:t>月X</w:t>
      </w:r>
      <w:r>
        <w:rPr>
          <w:rFonts w:ascii="宋体" w:hAnsi="宋体"/>
          <w:sz w:val="28"/>
          <w:szCs w:val="28"/>
          <w:highlight w:val="none"/>
        </w:rPr>
        <w:t>X</w:t>
      </w:r>
      <w:r>
        <w:rPr>
          <w:rFonts w:hint="eastAsia" w:ascii="宋体" w:hAnsi="宋体"/>
          <w:sz w:val="28"/>
          <w:szCs w:val="28"/>
          <w:highlight w:val="none"/>
        </w:rPr>
        <w:t xml:space="preserve">日 </w:t>
      </w:r>
      <w:r>
        <w:rPr>
          <w:rFonts w:ascii="宋体" w:hAnsi="宋体"/>
          <w:sz w:val="28"/>
          <w:szCs w:val="28"/>
          <w:highlight w:val="none"/>
        </w:rPr>
        <w:t xml:space="preserve">                </w:t>
      </w:r>
      <w:r>
        <w:rPr>
          <w:rFonts w:hint="eastAsia" w:ascii="宋体" w:hAnsi="宋体"/>
          <w:sz w:val="28"/>
          <w:szCs w:val="28"/>
          <w:highlight w:val="none"/>
        </w:rPr>
        <w:t xml:space="preserve">  </w:t>
      </w:r>
      <w:r>
        <w:rPr>
          <w:rFonts w:ascii="宋体" w:hAnsi="宋体"/>
          <w:sz w:val="28"/>
          <w:szCs w:val="28"/>
          <w:highlight w:val="none"/>
        </w:rPr>
        <w:t xml:space="preserve"> </w:t>
      </w:r>
      <w:r>
        <w:rPr>
          <w:rFonts w:hint="eastAsia" w:ascii="宋体" w:hAnsi="宋体"/>
          <w:sz w:val="28"/>
          <w:szCs w:val="28"/>
          <w:highlight w:val="none"/>
        </w:rPr>
        <w:t>X</w:t>
      </w:r>
      <w:r>
        <w:rPr>
          <w:rFonts w:ascii="宋体" w:hAnsi="宋体"/>
          <w:sz w:val="28"/>
          <w:szCs w:val="28"/>
          <w:highlight w:val="none"/>
        </w:rPr>
        <w:t>XXX</w:t>
      </w:r>
      <w:r>
        <w:rPr>
          <w:rFonts w:hint="eastAsia" w:ascii="宋体" w:hAnsi="宋体"/>
          <w:sz w:val="28"/>
          <w:szCs w:val="28"/>
          <w:highlight w:val="none"/>
        </w:rPr>
        <w:t>年X</w:t>
      </w:r>
      <w:r>
        <w:rPr>
          <w:rFonts w:ascii="宋体" w:hAnsi="宋体"/>
          <w:sz w:val="28"/>
          <w:szCs w:val="28"/>
          <w:highlight w:val="none"/>
        </w:rPr>
        <w:t>X</w:t>
      </w:r>
      <w:r>
        <w:rPr>
          <w:rFonts w:hint="eastAsia" w:ascii="宋体" w:hAnsi="宋体"/>
          <w:sz w:val="28"/>
          <w:szCs w:val="28"/>
          <w:highlight w:val="none"/>
        </w:rPr>
        <w:t>月X</w:t>
      </w:r>
      <w:r>
        <w:rPr>
          <w:rFonts w:ascii="宋体" w:hAnsi="宋体"/>
          <w:sz w:val="28"/>
          <w:szCs w:val="28"/>
          <w:highlight w:val="none"/>
        </w:rPr>
        <w:t>X</w:t>
      </w:r>
      <w:r>
        <w:rPr>
          <w:rFonts w:hint="eastAsia" w:ascii="宋体" w:hAnsi="宋体"/>
          <w:sz w:val="28"/>
          <w:szCs w:val="28"/>
          <w:highlight w:val="none"/>
        </w:rPr>
        <w:t>日实施</w:t>
      </w:r>
    </w:p>
    <w:p>
      <w:pPr>
        <w:keepNext w:val="0"/>
        <w:keepLines w:val="0"/>
        <w:pageBreakBefore w:val="0"/>
        <w:widowControl w:val="0"/>
        <w:kinsoku/>
        <w:wordWrap/>
        <w:overflowPunct/>
        <w:topLinePunct w:val="0"/>
        <w:autoSpaceDE/>
        <w:autoSpaceDN/>
        <w:bidi w:val="0"/>
        <w:adjustRightInd/>
        <w:snapToGrid/>
        <w:spacing w:line="360" w:lineRule="auto"/>
        <w:ind w:firstLine="280" w:firstLineChars="100"/>
        <w:jc w:val="left"/>
        <w:textAlignment w:val="auto"/>
        <w:rPr>
          <w:rFonts w:hint="eastAsia" w:ascii="宋体" w:hAnsi="宋体"/>
          <w:sz w:val="28"/>
          <w:szCs w:val="28"/>
          <w:highlight w:val="none"/>
          <w:u w:val="single"/>
        </w:rPr>
      </w:pPr>
      <w:r>
        <w:rPr>
          <w:rFonts w:hint="eastAsia" w:ascii="宋体" w:hAnsi="宋体"/>
          <w:sz w:val="28"/>
          <w:szCs w:val="28"/>
          <w:highlight w:val="none"/>
          <w:u w:val="single"/>
        </w:rPr>
        <w:t xml:space="preserve"> </w:t>
      </w:r>
      <w:r>
        <w:rPr>
          <w:rFonts w:ascii="宋体" w:hAnsi="宋体"/>
          <w:sz w:val="28"/>
          <w:szCs w:val="28"/>
          <w:highlight w:val="none"/>
          <w:u w:val="single"/>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800"/>
        <w:jc w:val="center"/>
        <w:textAlignment w:val="auto"/>
        <w:rPr>
          <w:rFonts w:hint="eastAsia" w:ascii="宋体" w:hAnsi="宋体" w:eastAsia="黑体"/>
          <w:sz w:val="28"/>
          <w:szCs w:val="28"/>
          <w:highlight w:val="none"/>
          <w:lang w:val="en-US" w:eastAsia="zh-CN"/>
        </w:rPr>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cols w:space="425" w:num="1"/>
          <w:docGrid w:type="lines" w:linePitch="312" w:charSpace="0"/>
        </w:sectPr>
      </w:pPr>
      <w:r>
        <w:rPr>
          <w:rFonts w:hint="eastAsia" w:ascii="宋体" w:hAnsi="宋体"/>
          <w:sz w:val="36"/>
          <w:szCs w:val="24"/>
          <w:highlight w:val="none"/>
        </w:rPr>
        <w:t>北京慢性病防治与健康教育研究会</w:t>
      </w:r>
      <w:r>
        <w:rPr>
          <w:rFonts w:hint="eastAsia" w:ascii="宋体" w:hAnsi="宋体"/>
          <w:sz w:val="40"/>
          <w:szCs w:val="28"/>
          <w:highlight w:val="none"/>
        </w:rPr>
        <w:t xml:space="preserve"> </w:t>
      </w:r>
      <w:r>
        <w:rPr>
          <w:rFonts w:hint="eastAsia" w:ascii="黑体" w:hAnsi="黑体" w:eastAsia="黑体"/>
          <w:sz w:val="28"/>
          <w:szCs w:val="28"/>
          <w:highlight w:val="none"/>
        </w:rPr>
        <w:t>发</w:t>
      </w:r>
      <w:r>
        <w:rPr>
          <w:rFonts w:hint="eastAsia" w:ascii="黑体" w:hAnsi="黑体" w:eastAsia="黑体"/>
          <w:sz w:val="28"/>
          <w:szCs w:val="28"/>
          <w:highlight w:val="none"/>
          <w:lang w:val="en-US" w:eastAsia="zh-CN"/>
        </w:rPr>
        <w:t>布</w:t>
      </w:r>
    </w:p>
    <w:p>
      <w:pPr>
        <w:pStyle w:val="24"/>
        <w:tabs>
          <w:tab w:val="left" w:pos="229"/>
          <w:tab w:val="center" w:pos="4215"/>
        </w:tabs>
        <w:jc w:val="left"/>
        <w:outlineLvl w:val="9"/>
        <w:rPr>
          <w:rFonts w:hAnsi="黑体"/>
          <w:b/>
          <w:bCs/>
        </w:rPr>
      </w:pPr>
      <w:bookmarkStart w:id="0" w:name="_Toc509933846"/>
      <w:bookmarkStart w:id="1" w:name="_Toc510534525"/>
      <w:r>
        <w:rPr>
          <w:rFonts w:hint="eastAsia" w:hAnsi="黑体"/>
          <w:b/>
          <w:bCs/>
          <w:lang w:eastAsia="zh-CN"/>
        </w:rPr>
        <w:tab/>
      </w:r>
      <w:r>
        <w:rPr>
          <w:rFonts w:hint="eastAsia" w:hAnsi="黑体"/>
          <w:b/>
          <w:bCs/>
        </w:rPr>
        <w:t>目</w:t>
      </w:r>
      <w:bookmarkStart w:id="2" w:name="BKML"/>
      <w:r>
        <w:rPr>
          <w:rFonts w:hAnsi="黑体"/>
          <w:b/>
          <w:bCs/>
        </w:rPr>
        <w:t> </w:t>
      </w:r>
      <w:r>
        <w:rPr>
          <w:rFonts w:hint="eastAsia" w:hAnsi="黑体"/>
          <w:b/>
          <w:bCs/>
        </w:rPr>
        <w:t>次</w:t>
      </w:r>
      <w:bookmarkEnd w:id="0"/>
      <w:bookmarkEnd w:id="1"/>
      <w:bookmarkEnd w:id="2"/>
    </w:p>
    <w:sdt>
      <w:sdtPr>
        <w:rPr>
          <w:rFonts w:ascii="宋体" w:hAnsi="宋体" w:eastAsia="宋体" w:cstheme="minorBidi"/>
          <w:kern w:val="2"/>
          <w:sz w:val="21"/>
          <w:szCs w:val="22"/>
          <w:lang w:val="en-US" w:eastAsia="zh-CN" w:bidi="ar-SA"/>
        </w:rPr>
        <w:id w:val="147455844"/>
        <w15:color w:val="DBDBDB"/>
        <w:docPartObj>
          <w:docPartGallery w:val="Table of Contents"/>
          <w:docPartUnique/>
        </w:docPartObj>
      </w:sdtPr>
      <w:sdtEndPr>
        <w:rPr>
          <w:rFonts w:ascii="宋体" w:hAnsi="宋体" w:eastAsia="宋体" w:cstheme="minorBidi"/>
          <w:kern w:val="2"/>
          <w:sz w:val="21"/>
          <w:szCs w:val="22"/>
          <w:lang w:val="en-US" w:eastAsia="zh-CN" w:bidi="ar-SA"/>
        </w:rPr>
      </w:sdtEndPr>
      <w:sdtContent>
        <w:p>
          <w:pPr>
            <w:spacing w:before="0" w:beforeLines="0" w:after="0" w:afterLines="0" w:line="240" w:lineRule="auto"/>
            <w:ind w:left="0" w:leftChars="0" w:right="0" w:rightChars="0" w:firstLine="0" w:firstLineChars="0"/>
            <w:jc w:val="center"/>
          </w:pPr>
        </w:p>
        <w:p>
          <w:pPr>
            <w:pStyle w:val="8"/>
            <w:tabs>
              <w:tab w:val="right" w:leader="dot" w:pos="8312"/>
            </w:tabs>
          </w:pPr>
          <w:r>
            <w:rPr>
              <w:rFonts w:ascii="宋体" w:hAnsi="宋体" w:eastAsia="宋体"/>
            </w:rPr>
            <w:fldChar w:fldCharType="begin"/>
          </w:r>
          <w:r>
            <w:rPr>
              <w:rFonts w:ascii="宋体" w:hAnsi="宋体" w:eastAsia="宋体"/>
            </w:rPr>
            <w:instrText xml:space="preserve">TOC \o "1-2" \h \u </w:instrText>
          </w:r>
          <w:r>
            <w:rPr>
              <w:rFonts w:ascii="宋体" w:hAnsi="宋体" w:eastAsia="宋体"/>
            </w:rPr>
            <w:fldChar w:fldCharType="separate"/>
          </w:r>
          <w:r>
            <w:rPr>
              <w:rFonts w:ascii="宋体" w:hAnsi="宋体" w:eastAsia="宋体"/>
            </w:rPr>
            <w:fldChar w:fldCharType="begin"/>
          </w:r>
          <w:r>
            <w:rPr>
              <w:rFonts w:ascii="宋体" w:hAnsi="宋体" w:eastAsia="宋体"/>
            </w:rPr>
            <w:instrText xml:space="preserve"> HYPERLINK \l _Toc30626 </w:instrText>
          </w:r>
          <w:r>
            <w:rPr>
              <w:rFonts w:ascii="宋体" w:hAnsi="宋体" w:eastAsia="宋体"/>
            </w:rPr>
            <w:fldChar w:fldCharType="separate"/>
          </w:r>
          <w:r>
            <w:rPr>
              <w:rFonts w:hint="eastAsia"/>
              <w:bCs/>
            </w:rPr>
            <w:t>引</w:t>
          </w:r>
          <w:r>
            <w:rPr>
              <w:bCs/>
            </w:rPr>
            <w:t> </w:t>
          </w:r>
          <w:r>
            <w:rPr>
              <w:rFonts w:hint="eastAsia"/>
              <w:bCs/>
            </w:rPr>
            <w:t>言</w:t>
          </w:r>
          <w:r>
            <w:tab/>
          </w:r>
          <w:r>
            <w:fldChar w:fldCharType="begin"/>
          </w:r>
          <w:r>
            <w:instrText xml:space="preserve"> PAGEREF _Toc30626 \h </w:instrText>
          </w:r>
          <w:r>
            <w:fldChar w:fldCharType="separate"/>
          </w:r>
          <w:r>
            <w:t>III</w:t>
          </w:r>
          <w:r>
            <w:fldChar w:fldCharType="end"/>
          </w:r>
          <w:r>
            <w:rPr>
              <w:rFonts w:ascii="宋体" w:hAnsi="宋体" w:eastAsia="宋体"/>
            </w:rPr>
            <w:fldChar w:fldCharType="end"/>
          </w:r>
        </w:p>
        <w:p>
          <w:pPr>
            <w:pStyle w:val="9"/>
            <w:tabs>
              <w:tab w:val="right" w:leader="dot" w:pos="8312"/>
            </w:tabs>
            <w:ind w:left="0" w:leftChars="0" w:firstLine="0" w:firstLineChars="0"/>
          </w:pPr>
          <w:r>
            <w:rPr>
              <w:rFonts w:ascii="宋体" w:hAnsi="宋体" w:eastAsia="宋体"/>
            </w:rPr>
            <w:fldChar w:fldCharType="begin"/>
          </w:r>
          <w:r>
            <w:rPr>
              <w:rFonts w:ascii="宋体" w:hAnsi="宋体" w:eastAsia="宋体"/>
            </w:rPr>
            <w:instrText xml:space="preserve"> HYPERLINK \l _Toc28792 </w:instrText>
          </w:r>
          <w:r>
            <w:rPr>
              <w:rFonts w:ascii="宋体" w:hAnsi="宋体" w:eastAsia="宋体"/>
            </w:rPr>
            <w:fldChar w:fldCharType="separate"/>
          </w:r>
          <w:r>
            <w:rPr>
              <w:rFonts w:hint="eastAsia" w:ascii="黑体" w:hAnsi="Times New Roman" w:eastAsia="黑体"/>
              <w:i w:val="0"/>
            </w:rPr>
            <w:t xml:space="preserve">1 </w:t>
          </w:r>
          <w:r>
            <w:t>范围</w:t>
          </w:r>
          <w:r>
            <w:tab/>
          </w:r>
          <w:r>
            <w:fldChar w:fldCharType="begin"/>
          </w:r>
          <w:r>
            <w:instrText xml:space="preserve"> PAGEREF _Toc28792 \h </w:instrText>
          </w:r>
          <w:r>
            <w:fldChar w:fldCharType="separate"/>
          </w:r>
          <w:r>
            <w:t>1</w:t>
          </w:r>
          <w:r>
            <w:fldChar w:fldCharType="end"/>
          </w:r>
          <w:r>
            <w:rPr>
              <w:rFonts w:ascii="宋体" w:hAnsi="宋体" w:eastAsia="宋体"/>
            </w:rPr>
            <w:fldChar w:fldCharType="end"/>
          </w:r>
        </w:p>
        <w:p>
          <w:pPr>
            <w:pStyle w:val="9"/>
            <w:tabs>
              <w:tab w:val="right" w:leader="dot" w:pos="8312"/>
            </w:tabs>
            <w:ind w:left="0" w:leftChars="0" w:firstLine="0" w:firstLineChars="0"/>
          </w:pPr>
          <w:r>
            <w:rPr>
              <w:rFonts w:ascii="宋体" w:hAnsi="宋体" w:eastAsia="宋体"/>
            </w:rPr>
            <w:fldChar w:fldCharType="begin"/>
          </w:r>
          <w:r>
            <w:rPr>
              <w:rFonts w:ascii="宋体" w:hAnsi="宋体" w:eastAsia="宋体"/>
            </w:rPr>
            <w:instrText xml:space="preserve"> HYPERLINK \l _Toc30621 </w:instrText>
          </w:r>
          <w:r>
            <w:rPr>
              <w:rFonts w:ascii="宋体" w:hAnsi="宋体" w:eastAsia="宋体"/>
            </w:rPr>
            <w:fldChar w:fldCharType="separate"/>
          </w:r>
          <w:r>
            <w:rPr>
              <w:rFonts w:hint="eastAsia" w:ascii="黑体" w:hAnsi="Times New Roman" w:eastAsia="黑体"/>
              <w:i w:val="0"/>
            </w:rPr>
            <w:t xml:space="preserve">2 </w:t>
          </w:r>
          <w:r>
            <w:t>规范性引用文件</w:t>
          </w:r>
          <w:r>
            <w:tab/>
          </w:r>
          <w:r>
            <w:fldChar w:fldCharType="begin"/>
          </w:r>
          <w:r>
            <w:instrText xml:space="preserve"> PAGEREF _Toc30621 \h </w:instrText>
          </w:r>
          <w:r>
            <w:fldChar w:fldCharType="separate"/>
          </w:r>
          <w:r>
            <w:t>1</w:t>
          </w:r>
          <w:r>
            <w:fldChar w:fldCharType="end"/>
          </w:r>
          <w:r>
            <w:rPr>
              <w:rFonts w:ascii="宋体" w:hAnsi="宋体" w:eastAsia="宋体"/>
            </w:rPr>
            <w:fldChar w:fldCharType="end"/>
          </w:r>
        </w:p>
        <w:p>
          <w:pPr>
            <w:pStyle w:val="9"/>
            <w:tabs>
              <w:tab w:val="right" w:leader="dot" w:pos="8312"/>
            </w:tabs>
            <w:ind w:left="0" w:leftChars="0" w:firstLine="0" w:firstLineChars="0"/>
          </w:pPr>
          <w:r>
            <w:rPr>
              <w:rFonts w:ascii="宋体" w:hAnsi="宋体" w:eastAsia="宋体"/>
            </w:rPr>
            <w:fldChar w:fldCharType="begin"/>
          </w:r>
          <w:r>
            <w:rPr>
              <w:rFonts w:ascii="宋体" w:hAnsi="宋体" w:eastAsia="宋体"/>
            </w:rPr>
            <w:instrText xml:space="preserve"> HYPERLINK \l _Toc14509 </w:instrText>
          </w:r>
          <w:r>
            <w:rPr>
              <w:rFonts w:ascii="宋体" w:hAnsi="宋体" w:eastAsia="宋体"/>
            </w:rPr>
            <w:fldChar w:fldCharType="separate"/>
          </w:r>
          <w:r>
            <w:rPr>
              <w:rFonts w:hint="eastAsia" w:ascii="黑体" w:hAnsi="Times New Roman" w:eastAsia="黑体"/>
              <w:i w:val="0"/>
            </w:rPr>
            <w:t xml:space="preserve">3 </w:t>
          </w:r>
          <w:r>
            <w:rPr>
              <w:rFonts w:hint="eastAsia"/>
            </w:rPr>
            <w:t>术语和定义</w:t>
          </w:r>
          <w:r>
            <w:tab/>
          </w:r>
          <w:r>
            <w:fldChar w:fldCharType="begin"/>
          </w:r>
          <w:r>
            <w:instrText xml:space="preserve"> PAGEREF _Toc14509 \h </w:instrText>
          </w:r>
          <w:r>
            <w:fldChar w:fldCharType="separate"/>
          </w:r>
          <w:r>
            <w:t>1</w:t>
          </w:r>
          <w:r>
            <w:fldChar w:fldCharType="end"/>
          </w:r>
          <w:r>
            <w:rPr>
              <w:rFonts w:ascii="宋体" w:hAnsi="宋体" w:eastAsia="宋体"/>
            </w:rPr>
            <w:fldChar w:fldCharType="end"/>
          </w:r>
        </w:p>
        <w:p>
          <w:pPr>
            <w:pStyle w:val="9"/>
            <w:tabs>
              <w:tab w:val="right" w:leader="dot" w:pos="8312"/>
            </w:tabs>
            <w:ind w:left="0" w:leftChars="0" w:firstLine="0" w:firstLineChars="0"/>
          </w:pPr>
          <w:r>
            <w:rPr>
              <w:rFonts w:ascii="宋体" w:hAnsi="宋体" w:eastAsia="宋体"/>
            </w:rPr>
            <w:fldChar w:fldCharType="begin"/>
          </w:r>
          <w:r>
            <w:rPr>
              <w:rFonts w:ascii="宋体" w:hAnsi="宋体" w:eastAsia="宋体"/>
            </w:rPr>
            <w:instrText xml:space="preserve"> HYPERLINK \l _Toc11762 </w:instrText>
          </w:r>
          <w:r>
            <w:rPr>
              <w:rFonts w:ascii="宋体" w:hAnsi="宋体" w:eastAsia="宋体"/>
            </w:rPr>
            <w:fldChar w:fldCharType="separate"/>
          </w:r>
          <w:r>
            <w:rPr>
              <w:rFonts w:hint="eastAsia" w:ascii="黑体" w:hAnsi="Times New Roman" w:eastAsia="黑体"/>
              <w:i w:val="0"/>
            </w:rPr>
            <w:t xml:space="preserve">4 </w:t>
          </w:r>
          <w:r>
            <w:rPr>
              <w:rFonts w:hint="eastAsia"/>
            </w:rPr>
            <w:t>总则</w:t>
          </w:r>
          <w:r>
            <w:tab/>
          </w:r>
          <w:r>
            <w:fldChar w:fldCharType="begin"/>
          </w:r>
          <w:r>
            <w:instrText xml:space="preserve"> PAGEREF _Toc11762 \h </w:instrText>
          </w:r>
          <w:r>
            <w:fldChar w:fldCharType="separate"/>
          </w:r>
          <w:r>
            <w:t>2</w:t>
          </w:r>
          <w:r>
            <w:fldChar w:fldCharType="end"/>
          </w:r>
          <w:r>
            <w:rPr>
              <w:rFonts w:ascii="宋体" w:hAnsi="宋体" w:eastAsia="宋体"/>
            </w:rPr>
            <w:fldChar w:fldCharType="end"/>
          </w:r>
        </w:p>
        <w:p>
          <w:pPr>
            <w:pStyle w:val="9"/>
            <w:tabs>
              <w:tab w:val="right" w:leader="dot" w:pos="8312"/>
            </w:tabs>
            <w:ind w:left="0" w:leftChars="0" w:firstLine="0" w:firstLineChars="0"/>
          </w:pPr>
          <w:r>
            <w:rPr>
              <w:rFonts w:ascii="宋体" w:hAnsi="宋体" w:eastAsia="宋体"/>
            </w:rPr>
            <w:fldChar w:fldCharType="begin"/>
          </w:r>
          <w:r>
            <w:rPr>
              <w:rFonts w:ascii="宋体" w:hAnsi="宋体" w:eastAsia="宋体"/>
            </w:rPr>
            <w:instrText xml:space="preserve"> HYPERLINK \l _Toc12532 </w:instrText>
          </w:r>
          <w:r>
            <w:rPr>
              <w:rFonts w:ascii="宋体" w:hAnsi="宋体" w:eastAsia="宋体"/>
            </w:rPr>
            <w:fldChar w:fldCharType="separate"/>
          </w:r>
          <w:r>
            <w:rPr>
              <w:rFonts w:hint="eastAsia" w:ascii="黑体" w:hAnsi="Times New Roman" w:eastAsia="黑体"/>
              <w:i w:val="0"/>
            </w:rPr>
            <w:t xml:space="preserve">5 </w:t>
          </w:r>
          <w:r>
            <w:rPr>
              <w:rFonts w:hint="eastAsia"/>
            </w:rPr>
            <w:t>全周期管理服务架构与流程</w:t>
          </w:r>
          <w:r>
            <w:tab/>
          </w:r>
          <w:r>
            <w:fldChar w:fldCharType="begin"/>
          </w:r>
          <w:r>
            <w:instrText xml:space="preserve"> PAGEREF _Toc12532 \h </w:instrText>
          </w:r>
          <w:r>
            <w:fldChar w:fldCharType="separate"/>
          </w:r>
          <w:r>
            <w:t>3</w:t>
          </w:r>
          <w:r>
            <w:fldChar w:fldCharType="end"/>
          </w:r>
          <w:r>
            <w:rPr>
              <w:rFonts w:ascii="宋体" w:hAnsi="宋体" w:eastAsia="宋体"/>
            </w:rPr>
            <w:fldChar w:fldCharType="end"/>
          </w:r>
        </w:p>
        <w:p>
          <w:pPr>
            <w:pStyle w:val="9"/>
            <w:tabs>
              <w:tab w:val="right" w:leader="dot" w:pos="8312"/>
            </w:tabs>
            <w:ind w:left="0" w:leftChars="0" w:firstLine="0" w:firstLineChars="0"/>
          </w:pPr>
          <w:r>
            <w:rPr>
              <w:rFonts w:ascii="宋体" w:hAnsi="宋体" w:eastAsia="宋体"/>
            </w:rPr>
            <w:fldChar w:fldCharType="begin"/>
          </w:r>
          <w:r>
            <w:rPr>
              <w:rFonts w:ascii="宋体" w:hAnsi="宋体" w:eastAsia="宋体"/>
            </w:rPr>
            <w:instrText xml:space="preserve"> HYPERLINK \l _Toc6895 </w:instrText>
          </w:r>
          <w:r>
            <w:rPr>
              <w:rFonts w:ascii="宋体" w:hAnsi="宋体" w:eastAsia="宋体"/>
            </w:rPr>
            <w:fldChar w:fldCharType="separate"/>
          </w:r>
          <w:r>
            <w:rPr>
              <w:rFonts w:hint="eastAsia" w:ascii="黑体" w:hAnsi="Times New Roman" w:eastAsia="黑体"/>
              <w:i w:val="0"/>
            </w:rPr>
            <w:t xml:space="preserve">6 </w:t>
          </w:r>
          <w:r>
            <w:rPr>
              <w:rFonts w:hint="eastAsia"/>
            </w:rPr>
            <w:t>分阶段数字健康管理服务内容</w:t>
          </w:r>
          <w:r>
            <w:tab/>
          </w:r>
          <w:r>
            <w:fldChar w:fldCharType="begin"/>
          </w:r>
          <w:r>
            <w:instrText xml:space="preserve"> PAGEREF _Toc6895 \h </w:instrText>
          </w:r>
          <w:r>
            <w:fldChar w:fldCharType="separate"/>
          </w:r>
          <w:r>
            <w:t>3</w:t>
          </w:r>
          <w:r>
            <w:fldChar w:fldCharType="end"/>
          </w:r>
          <w:r>
            <w:rPr>
              <w:rFonts w:ascii="宋体" w:hAnsi="宋体" w:eastAsia="宋体"/>
            </w:rPr>
            <w:fldChar w:fldCharType="end"/>
          </w:r>
        </w:p>
        <w:p>
          <w:pPr>
            <w:pStyle w:val="9"/>
            <w:tabs>
              <w:tab w:val="right" w:leader="dot" w:pos="8312"/>
            </w:tabs>
            <w:ind w:left="0" w:leftChars="0" w:firstLine="0" w:firstLineChars="0"/>
          </w:pPr>
          <w:r>
            <w:rPr>
              <w:rFonts w:ascii="宋体" w:hAnsi="宋体" w:eastAsia="宋体"/>
            </w:rPr>
            <w:fldChar w:fldCharType="begin"/>
          </w:r>
          <w:r>
            <w:rPr>
              <w:rFonts w:ascii="宋体" w:hAnsi="宋体" w:eastAsia="宋体"/>
            </w:rPr>
            <w:instrText xml:space="preserve"> HYPERLINK \l _Toc29102 </w:instrText>
          </w:r>
          <w:r>
            <w:rPr>
              <w:rFonts w:ascii="宋体" w:hAnsi="宋体" w:eastAsia="宋体"/>
            </w:rPr>
            <w:fldChar w:fldCharType="separate"/>
          </w:r>
          <w:r>
            <w:rPr>
              <w:rFonts w:hint="eastAsia" w:ascii="黑体" w:hAnsi="Times New Roman" w:eastAsia="黑体"/>
              <w:i w:val="0"/>
            </w:rPr>
            <w:t xml:space="preserve">7 </w:t>
          </w:r>
          <w:r>
            <w:rPr>
              <w:rFonts w:hint="eastAsia"/>
            </w:rPr>
            <w:t>数据管理与智能应用</w:t>
          </w:r>
          <w:r>
            <w:tab/>
          </w:r>
          <w:r>
            <w:fldChar w:fldCharType="begin"/>
          </w:r>
          <w:r>
            <w:instrText xml:space="preserve"> PAGEREF _Toc29102 \h </w:instrText>
          </w:r>
          <w:r>
            <w:fldChar w:fldCharType="separate"/>
          </w:r>
          <w:r>
            <w:t>6</w:t>
          </w:r>
          <w:r>
            <w:fldChar w:fldCharType="end"/>
          </w:r>
          <w:r>
            <w:rPr>
              <w:rFonts w:ascii="宋体" w:hAnsi="宋体" w:eastAsia="宋体"/>
            </w:rPr>
            <w:fldChar w:fldCharType="end"/>
          </w:r>
        </w:p>
        <w:p>
          <w:pPr>
            <w:pStyle w:val="9"/>
            <w:tabs>
              <w:tab w:val="right" w:leader="dot" w:pos="8312"/>
            </w:tabs>
            <w:ind w:left="0" w:leftChars="0" w:firstLine="0" w:firstLineChars="0"/>
          </w:pPr>
          <w:r>
            <w:rPr>
              <w:rFonts w:ascii="宋体" w:hAnsi="宋体" w:eastAsia="宋体"/>
            </w:rPr>
            <w:fldChar w:fldCharType="begin"/>
          </w:r>
          <w:r>
            <w:rPr>
              <w:rFonts w:ascii="宋体" w:hAnsi="宋体" w:eastAsia="宋体"/>
            </w:rPr>
            <w:instrText xml:space="preserve"> HYPERLINK \l _Toc9805 </w:instrText>
          </w:r>
          <w:r>
            <w:rPr>
              <w:rFonts w:ascii="宋体" w:hAnsi="宋体" w:eastAsia="宋体"/>
            </w:rPr>
            <w:fldChar w:fldCharType="separate"/>
          </w:r>
          <w:r>
            <w:rPr>
              <w:rFonts w:hint="eastAsia" w:ascii="黑体" w:hAnsi="Times New Roman" w:eastAsia="黑体"/>
              <w:i w:val="0"/>
            </w:rPr>
            <w:t xml:space="preserve">8 </w:t>
          </w:r>
          <w:r>
            <w:rPr>
              <w:rFonts w:hint="eastAsia"/>
            </w:rPr>
            <w:t>技术支撑与安全要求</w:t>
          </w:r>
          <w:r>
            <w:tab/>
          </w:r>
          <w:r>
            <w:fldChar w:fldCharType="begin"/>
          </w:r>
          <w:r>
            <w:instrText xml:space="preserve"> PAGEREF _Toc9805 \h </w:instrText>
          </w:r>
          <w:r>
            <w:fldChar w:fldCharType="separate"/>
          </w:r>
          <w:r>
            <w:t>7</w:t>
          </w:r>
          <w:r>
            <w:fldChar w:fldCharType="end"/>
          </w:r>
          <w:r>
            <w:rPr>
              <w:rFonts w:ascii="宋体" w:hAnsi="宋体" w:eastAsia="宋体"/>
            </w:rPr>
            <w:fldChar w:fldCharType="end"/>
          </w:r>
        </w:p>
        <w:p>
          <w:pPr>
            <w:pStyle w:val="9"/>
            <w:tabs>
              <w:tab w:val="right" w:leader="dot" w:pos="8312"/>
            </w:tabs>
            <w:ind w:left="0" w:leftChars="0" w:firstLine="0" w:firstLineChars="0"/>
          </w:pPr>
          <w:r>
            <w:rPr>
              <w:rFonts w:ascii="宋体" w:hAnsi="宋体" w:eastAsia="宋体"/>
            </w:rPr>
            <w:fldChar w:fldCharType="begin"/>
          </w:r>
          <w:r>
            <w:rPr>
              <w:rFonts w:ascii="宋体" w:hAnsi="宋体" w:eastAsia="宋体"/>
            </w:rPr>
            <w:instrText xml:space="preserve"> HYPERLINK \l _Toc14603 </w:instrText>
          </w:r>
          <w:r>
            <w:rPr>
              <w:rFonts w:ascii="宋体" w:hAnsi="宋体" w:eastAsia="宋体"/>
            </w:rPr>
            <w:fldChar w:fldCharType="separate"/>
          </w:r>
          <w:r>
            <w:rPr>
              <w:rFonts w:hint="eastAsia" w:ascii="黑体" w:hAnsi="Times New Roman" w:eastAsia="黑体"/>
              <w:i w:val="0"/>
            </w:rPr>
            <w:t xml:space="preserve">9 </w:t>
          </w:r>
          <w:r>
            <w:rPr>
              <w:rFonts w:hint="eastAsia"/>
            </w:rPr>
            <w:t>服务质量控制</w:t>
          </w:r>
          <w:r>
            <w:tab/>
          </w:r>
          <w:r>
            <w:fldChar w:fldCharType="begin"/>
          </w:r>
          <w:r>
            <w:instrText xml:space="preserve"> PAGEREF _Toc14603 \h </w:instrText>
          </w:r>
          <w:r>
            <w:fldChar w:fldCharType="separate"/>
          </w:r>
          <w:r>
            <w:t>9</w:t>
          </w:r>
          <w:r>
            <w:fldChar w:fldCharType="end"/>
          </w:r>
          <w:r>
            <w:rPr>
              <w:rFonts w:ascii="宋体" w:hAnsi="宋体" w:eastAsia="宋体"/>
            </w:rPr>
            <w:fldChar w:fldCharType="end"/>
          </w:r>
        </w:p>
        <w:p>
          <w:pPr>
            <w:pStyle w:val="9"/>
            <w:tabs>
              <w:tab w:val="right" w:leader="dot" w:pos="8312"/>
            </w:tabs>
            <w:ind w:left="0" w:leftChars="0" w:firstLine="0" w:firstLineChars="0"/>
          </w:pPr>
          <w:r>
            <w:rPr>
              <w:rFonts w:ascii="宋体" w:hAnsi="宋体" w:eastAsia="宋体"/>
            </w:rPr>
            <w:fldChar w:fldCharType="begin"/>
          </w:r>
          <w:r>
            <w:rPr>
              <w:rFonts w:ascii="宋体" w:hAnsi="宋体" w:eastAsia="宋体"/>
            </w:rPr>
            <w:instrText xml:space="preserve"> HYPERLINK \l _Toc7542 </w:instrText>
          </w:r>
          <w:r>
            <w:rPr>
              <w:rFonts w:ascii="宋体" w:hAnsi="宋体" w:eastAsia="宋体"/>
            </w:rPr>
            <w:fldChar w:fldCharType="separate"/>
          </w:r>
          <w:r>
            <w:rPr>
              <w:rFonts w:hint="eastAsia" w:ascii="黑体" w:hAnsi="Times New Roman" w:eastAsia="黑体"/>
              <w:i w:val="0"/>
            </w:rPr>
            <w:t xml:space="preserve">10 </w:t>
          </w:r>
          <w:r>
            <w:rPr>
              <w:rFonts w:hint="eastAsia"/>
            </w:rPr>
            <w:t>人员资质与能力要求</w:t>
          </w:r>
          <w:r>
            <w:tab/>
          </w:r>
          <w:r>
            <w:fldChar w:fldCharType="begin"/>
          </w:r>
          <w:r>
            <w:instrText xml:space="preserve"> PAGEREF _Toc7542 \h </w:instrText>
          </w:r>
          <w:r>
            <w:fldChar w:fldCharType="separate"/>
          </w:r>
          <w:r>
            <w:t>10</w:t>
          </w:r>
          <w:r>
            <w:fldChar w:fldCharType="end"/>
          </w:r>
          <w:r>
            <w:rPr>
              <w:rFonts w:ascii="宋体" w:hAnsi="宋体" w:eastAsia="宋体"/>
            </w:rPr>
            <w:fldChar w:fldCharType="end"/>
          </w:r>
        </w:p>
        <w:p>
          <w:pPr>
            <w:pStyle w:val="8"/>
            <w:tabs>
              <w:tab w:val="right" w:leader="dot" w:pos="8312"/>
            </w:tabs>
          </w:pPr>
          <w:r>
            <w:rPr>
              <w:rFonts w:ascii="宋体" w:hAnsi="宋体" w:eastAsia="宋体"/>
            </w:rPr>
            <w:fldChar w:fldCharType="begin"/>
          </w:r>
          <w:r>
            <w:rPr>
              <w:rFonts w:ascii="宋体" w:hAnsi="宋体" w:eastAsia="宋体"/>
            </w:rPr>
            <w:instrText xml:space="preserve"> HYPERLINK \l _Toc20213 </w:instrText>
          </w:r>
          <w:r>
            <w:rPr>
              <w:rFonts w:ascii="宋体" w:hAnsi="宋体" w:eastAsia="宋体"/>
            </w:rPr>
            <w:fldChar w:fldCharType="separate"/>
          </w:r>
          <w:r>
            <w:rPr>
              <w:rFonts w:hint="eastAsia"/>
              <w:bCs/>
            </w:rPr>
            <w:t>附 录 A</w:t>
          </w:r>
          <w:r>
            <w:tab/>
          </w:r>
          <w:r>
            <w:fldChar w:fldCharType="begin"/>
          </w:r>
          <w:r>
            <w:instrText xml:space="preserve"> PAGEREF _Toc20213 \h </w:instrText>
          </w:r>
          <w:r>
            <w:fldChar w:fldCharType="separate"/>
          </w:r>
          <w:r>
            <w:t>11</w:t>
          </w:r>
          <w:r>
            <w:fldChar w:fldCharType="end"/>
          </w:r>
          <w:r>
            <w:rPr>
              <w:rFonts w:ascii="宋体" w:hAnsi="宋体" w:eastAsia="宋体"/>
            </w:rPr>
            <w:fldChar w:fldCharType="end"/>
          </w:r>
        </w:p>
        <w:p>
          <w:pPr>
            <w:pStyle w:val="8"/>
            <w:tabs>
              <w:tab w:val="right" w:leader="dot" w:pos="8312"/>
            </w:tabs>
          </w:pPr>
          <w:r>
            <w:rPr>
              <w:rFonts w:ascii="宋体" w:hAnsi="宋体" w:eastAsia="宋体"/>
            </w:rPr>
            <w:fldChar w:fldCharType="begin"/>
          </w:r>
          <w:r>
            <w:rPr>
              <w:rFonts w:ascii="宋体" w:hAnsi="宋体" w:eastAsia="宋体"/>
            </w:rPr>
            <w:instrText xml:space="preserve"> HYPERLINK \l _Toc16424 </w:instrText>
          </w:r>
          <w:r>
            <w:rPr>
              <w:rFonts w:ascii="宋体" w:hAnsi="宋体" w:eastAsia="宋体"/>
            </w:rPr>
            <w:fldChar w:fldCharType="separate"/>
          </w:r>
          <w:r>
            <w:rPr>
              <w:rFonts w:hint="eastAsia" w:ascii="黑体" w:hAnsi="Times New Roman" w:eastAsia="黑体" w:cs="Times New Roman"/>
              <w:bCs/>
              <w:kern w:val="0"/>
              <w:szCs w:val="20"/>
              <w:lang w:val="en-US" w:eastAsia="zh-CN" w:bidi="ar-SA"/>
            </w:rPr>
            <w:t>附 录 B</w:t>
          </w:r>
          <w:r>
            <w:tab/>
          </w:r>
          <w:r>
            <w:fldChar w:fldCharType="begin"/>
          </w:r>
          <w:r>
            <w:instrText xml:space="preserve"> PAGEREF _Toc16424 \h </w:instrText>
          </w:r>
          <w:r>
            <w:fldChar w:fldCharType="separate"/>
          </w:r>
          <w:r>
            <w:t>12</w:t>
          </w:r>
          <w:r>
            <w:fldChar w:fldCharType="end"/>
          </w:r>
          <w:r>
            <w:rPr>
              <w:rFonts w:ascii="宋体" w:hAnsi="宋体" w:eastAsia="宋体"/>
            </w:rPr>
            <w:fldChar w:fldCharType="end"/>
          </w:r>
        </w:p>
        <w:p>
          <w:pPr>
            <w:pStyle w:val="8"/>
            <w:tabs>
              <w:tab w:val="right" w:leader="dot" w:pos="8312"/>
            </w:tabs>
          </w:pPr>
          <w:r>
            <w:rPr>
              <w:rFonts w:ascii="宋体" w:hAnsi="宋体" w:eastAsia="宋体"/>
            </w:rPr>
            <w:fldChar w:fldCharType="begin"/>
          </w:r>
          <w:r>
            <w:rPr>
              <w:rFonts w:ascii="宋体" w:hAnsi="宋体" w:eastAsia="宋体"/>
            </w:rPr>
            <w:instrText xml:space="preserve"> HYPERLINK \l _Toc13740 </w:instrText>
          </w:r>
          <w:r>
            <w:rPr>
              <w:rFonts w:ascii="宋体" w:hAnsi="宋体" w:eastAsia="宋体"/>
            </w:rPr>
            <w:fldChar w:fldCharType="separate"/>
          </w:r>
          <w:r>
            <w:rPr>
              <w:rFonts w:hint="eastAsia"/>
              <w:bCs/>
            </w:rPr>
            <w:t>参 考 文 献</w:t>
          </w:r>
          <w:r>
            <w:tab/>
          </w:r>
          <w:r>
            <w:fldChar w:fldCharType="begin"/>
          </w:r>
          <w:r>
            <w:instrText xml:space="preserve"> PAGEREF _Toc13740 \h </w:instrText>
          </w:r>
          <w:r>
            <w:fldChar w:fldCharType="separate"/>
          </w:r>
          <w:r>
            <w:t>13</w:t>
          </w:r>
          <w:r>
            <w:fldChar w:fldCharType="end"/>
          </w:r>
          <w:r>
            <w:rPr>
              <w:rFonts w:ascii="宋体" w:hAnsi="宋体" w:eastAsia="宋体"/>
            </w:rPr>
            <w:fldChar w:fldCharType="end"/>
          </w:r>
        </w:p>
        <w:p>
          <w:pPr>
            <w:spacing w:line="360" w:lineRule="exact"/>
            <w:rPr>
              <w:rFonts w:ascii="宋体" w:hAnsi="宋体" w:eastAsia="宋体" w:cstheme="minorBidi"/>
              <w:kern w:val="2"/>
              <w:sz w:val="21"/>
              <w:szCs w:val="22"/>
              <w:lang w:val="en-US" w:eastAsia="zh-CN" w:bidi="ar-SA"/>
            </w:rPr>
            <w:sectPr>
              <w:headerReference r:id="rId9" w:type="default"/>
              <w:footerReference r:id="rId10" w:type="default"/>
              <w:pgSz w:w="11906" w:h="16838"/>
              <w:pgMar w:top="1440" w:right="1797" w:bottom="1440" w:left="1797" w:header="1418" w:footer="1134" w:gutter="0"/>
              <w:pgNumType w:fmt="upperRoman" w:start="1"/>
              <w:cols w:space="720" w:num="1"/>
              <w:formProt w:val="0"/>
              <w:docGrid w:linePitch="312" w:charSpace="0"/>
            </w:sectPr>
          </w:pPr>
          <w:r>
            <w:rPr>
              <w:rFonts w:ascii="宋体" w:hAnsi="宋体" w:eastAsia="宋体"/>
            </w:rPr>
            <w:fldChar w:fldCharType="end"/>
          </w:r>
        </w:p>
      </w:sdtContent>
    </w:sdt>
    <w:p>
      <w:pPr>
        <w:pStyle w:val="16"/>
        <w:spacing w:line="360" w:lineRule="exact"/>
        <w:rPr>
          <w:rFonts w:hint="eastAsia" w:ascii="Times New Roman"/>
        </w:rPr>
      </w:pPr>
    </w:p>
    <w:p>
      <w:pPr>
        <w:pStyle w:val="16"/>
        <w:spacing w:line="360" w:lineRule="exact"/>
        <w:ind w:firstLine="420"/>
        <w:jc w:val="center"/>
        <w:rPr>
          <w:rFonts w:hint="eastAsia" w:ascii="Times New Roman"/>
        </w:rPr>
      </w:pPr>
      <w:r>
        <w:rPr>
          <w:rFonts w:hint="eastAsia" w:ascii="黑体" w:eastAsia="黑体"/>
          <w:b/>
          <w:bCs/>
          <w:sz w:val="32"/>
        </w:rPr>
        <w:t>前  言</w:t>
      </w:r>
    </w:p>
    <w:p>
      <w:pPr>
        <w:pStyle w:val="16"/>
        <w:spacing w:line="360" w:lineRule="exact"/>
        <w:ind w:firstLine="420"/>
        <w:rPr>
          <w:rFonts w:hint="eastAsia" w:ascii="Times New Roman"/>
        </w:rPr>
      </w:pPr>
    </w:p>
    <w:p>
      <w:pPr>
        <w:pStyle w:val="16"/>
        <w:spacing w:line="360" w:lineRule="exact"/>
        <w:ind w:firstLine="420"/>
        <w:rPr>
          <w:rFonts w:hint="eastAsia" w:ascii="Times New Roman"/>
        </w:rPr>
      </w:pPr>
    </w:p>
    <w:p>
      <w:pPr>
        <w:pStyle w:val="16"/>
        <w:spacing w:line="360" w:lineRule="exact"/>
        <w:ind w:firstLine="420"/>
        <w:rPr>
          <w:rFonts w:ascii="Times New Roman"/>
        </w:rPr>
      </w:pPr>
      <w:r>
        <w:rPr>
          <w:rFonts w:hint="eastAsia" w:ascii="Times New Roman"/>
        </w:rPr>
        <w:t>本文件参照GB/T1.1—20</w:t>
      </w:r>
      <w:r>
        <w:rPr>
          <w:rFonts w:ascii="Times New Roman"/>
        </w:rPr>
        <w:t>20</w:t>
      </w:r>
      <w:r>
        <w:rPr>
          <w:rFonts w:hint="eastAsia" w:ascii="Times New Roman"/>
        </w:rPr>
        <w:t>《标准化工作导则 第1部分：标准化文件的结构和起草规则》的规定起草。</w:t>
      </w:r>
    </w:p>
    <w:p>
      <w:pPr>
        <w:pStyle w:val="16"/>
        <w:spacing w:line="360" w:lineRule="exact"/>
        <w:ind w:firstLine="420"/>
        <w:rPr>
          <w:rFonts w:ascii="Times New Roman"/>
        </w:rPr>
      </w:pPr>
      <w:r>
        <w:rPr>
          <w:rFonts w:hint="eastAsia" w:ascii="Times New Roman"/>
        </w:rPr>
        <w:t>（修订项目需补充修订内容）</w:t>
      </w:r>
    </w:p>
    <w:p>
      <w:pPr>
        <w:pStyle w:val="16"/>
        <w:spacing w:line="360" w:lineRule="exact"/>
        <w:ind w:firstLine="420"/>
        <w:rPr>
          <w:rFonts w:ascii="Times New Roman"/>
        </w:rPr>
      </w:pPr>
      <w:r>
        <w:rPr>
          <w:rFonts w:hint="eastAsia" w:ascii="Times New Roman"/>
        </w:rPr>
        <w:t>请注意本文件的某些内容可能涉及专利。本文件的发布机构不承担识别专利的责任。</w:t>
      </w:r>
    </w:p>
    <w:p>
      <w:pPr>
        <w:pStyle w:val="16"/>
        <w:spacing w:line="360" w:lineRule="exact"/>
        <w:ind w:firstLine="420"/>
        <w:rPr>
          <w:rFonts w:ascii="Times New Roman"/>
          <w:highlight w:val="none"/>
        </w:rPr>
      </w:pPr>
      <w:r>
        <w:rPr>
          <w:rFonts w:hint="eastAsia" w:ascii="Times New Roman"/>
          <w:highlight w:val="none"/>
        </w:rPr>
        <w:t>本文件由</w:t>
      </w:r>
      <w:r>
        <w:rPr>
          <w:rFonts w:hint="eastAsia" w:ascii="Times New Roman"/>
          <w:highlight w:val="none"/>
          <w:lang w:val="en-US" w:eastAsia="zh-CN"/>
        </w:rPr>
        <w:t>深圳市人民医院</w:t>
      </w:r>
      <w:r>
        <w:rPr>
          <w:rFonts w:hint="eastAsia" w:ascii="Times New Roman"/>
          <w:highlight w:val="none"/>
        </w:rPr>
        <w:t>提出。</w:t>
      </w:r>
    </w:p>
    <w:p>
      <w:pPr>
        <w:pStyle w:val="16"/>
        <w:spacing w:line="360" w:lineRule="exact"/>
        <w:ind w:firstLine="420"/>
        <w:rPr>
          <w:rFonts w:ascii="Times New Roman"/>
          <w:highlight w:val="none"/>
        </w:rPr>
      </w:pPr>
      <w:r>
        <w:rPr>
          <w:rFonts w:hint="eastAsia" w:ascii="Times New Roman"/>
          <w:highlight w:val="none"/>
        </w:rPr>
        <w:t>本文件由</w:t>
      </w:r>
      <w:r>
        <w:rPr>
          <w:rFonts w:hint="eastAsia" w:ascii="Times New Roman"/>
          <w:highlight w:val="none"/>
          <w:lang w:val="en-US" w:eastAsia="zh-CN"/>
        </w:rPr>
        <w:t>北京慢性病防治与健康教育研究会</w:t>
      </w:r>
      <w:r>
        <w:rPr>
          <w:rFonts w:hint="eastAsia" w:ascii="Times New Roman"/>
          <w:highlight w:val="none"/>
        </w:rPr>
        <w:t>归口。</w:t>
      </w:r>
    </w:p>
    <w:p>
      <w:pPr>
        <w:pStyle w:val="16"/>
        <w:spacing w:line="360" w:lineRule="exact"/>
        <w:ind w:firstLine="420"/>
        <w:rPr>
          <w:rFonts w:ascii="Times New Roman"/>
          <w:highlight w:val="none"/>
        </w:rPr>
      </w:pPr>
      <w:r>
        <w:rPr>
          <w:rFonts w:hint="eastAsia" w:ascii="Times New Roman"/>
          <w:highlight w:val="none"/>
        </w:rPr>
        <w:t>本文件起草单位：</w:t>
      </w:r>
      <w:r>
        <w:rPr>
          <w:rFonts w:hint="eastAsia" w:ascii="Times New Roman"/>
          <w:highlight w:val="none"/>
          <w:lang w:val="en-US" w:eastAsia="zh-CN"/>
        </w:rPr>
        <w:t>深圳市人民医院</w:t>
      </w:r>
      <w:r>
        <w:rPr>
          <w:rFonts w:hint="eastAsia" w:ascii="Times New Roman"/>
          <w:highlight w:val="none"/>
        </w:rPr>
        <w:t>、</w:t>
      </w:r>
      <w:r>
        <w:rPr>
          <w:rFonts w:hint="eastAsia" w:ascii="Times New Roman"/>
          <w:highlight w:val="none"/>
          <w:lang w:val="en-US" w:eastAsia="zh-CN"/>
        </w:rPr>
        <w:t>福州康为网络技术有限公司</w:t>
      </w:r>
      <w:r>
        <w:rPr>
          <w:rFonts w:hint="eastAsia" w:ascii="Times New Roman"/>
          <w:highlight w:val="none"/>
        </w:rPr>
        <w:t>、</w:t>
      </w:r>
      <w:r>
        <w:rPr>
          <w:rFonts w:hint="eastAsia" w:ascii="Times New Roman"/>
          <w:highlight w:val="none"/>
          <w:lang w:val="en-US" w:eastAsia="zh-CN"/>
        </w:rPr>
        <w:t>福建省中卫数字医疗健康科学研究院</w:t>
      </w:r>
      <w:r>
        <w:rPr>
          <w:rFonts w:hint="eastAsia" w:ascii="Times New Roman"/>
          <w:sz w:val="21"/>
          <w:szCs w:val="21"/>
          <w:highlight w:val="none"/>
          <w:lang w:val="en-US" w:eastAsia="zh-CN"/>
        </w:rPr>
        <w:t>、</w:t>
      </w:r>
      <w:r>
        <w:rPr>
          <w:rFonts w:hint="eastAsia"/>
          <w:color w:val="auto"/>
          <w:sz w:val="21"/>
          <w:szCs w:val="21"/>
          <w:highlight w:val="none"/>
          <w:lang w:val="en-US" w:eastAsia="zh-CN"/>
        </w:rPr>
        <w:t>北京天坛医院、北京安贞医院、</w:t>
      </w:r>
      <w:r>
        <w:rPr>
          <w:rFonts w:hint="default" w:ascii="宋体" w:hAnsi="宋体" w:eastAsia="宋体" w:cs="宋体"/>
          <w:i w:val="0"/>
          <w:iCs w:val="0"/>
          <w:color w:val="000000"/>
          <w:kern w:val="0"/>
          <w:sz w:val="21"/>
          <w:szCs w:val="21"/>
          <w:u w:val="none"/>
          <w:lang w:val="en-US" w:eastAsia="zh-CN" w:bidi="ar"/>
        </w:rPr>
        <w:t>北京世纪坛医院</w:t>
      </w:r>
      <w:r>
        <w:rPr>
          <w:rFonts w:hint="eastAsia" w:cs="宋体"/>
          <w:i w:val="0"/>
          <w:iCs w:val="0"/>
          <w:color w:val="000000"/>
          <w:kern w:val="0"/>
          <w:sz w:val="21"/>
          <w:szCs w:val="21"/>
          <w:u w:val="none"/>
          <w:lang w:val="en-US" w:eastAsia="zh-CN" w:bidi="ar"/>
        </w:rPr>
        <w:t>、</w:t>
      </w:r>
      <w:r>
        <w:rPr>
          <w:rFonts w:hint="eastAsia"/>
          <w:color w:val="auto"/>
          <w:sz w:val="21"/>
          <w:szCs w:val="21"/>
          <w:highlight w:val="none"/>
          <w:lang w:val="en-US" w:eastAsia="zh-CN"/>
        </w:rPr>
        <w:t>北京地坛医院、</w:t>
      </w:r>
      <w:r>
        <w:rPr>
          <w:rFonts w:hint="eastAsia" w:ascii="Times New Roman"/>
          <w:sz w:val="21"/>
          <w:szCs w:val="21"/>
          <w:highlight w:val="none"/>
          <w:lang w:val="en-US" w:eastAsia="zh-CN"/>
        </w:rPr>
        <w:t>福建医科大学附属第一医院、</w:t>
      </w:r>
      <w:r>
        <w:rPr>
          <w:rFonts w:hint="eastAsia" w:ascii="宋体" w:hAnsi="宋体" w:eastAsia="宋体" w:cs="宋体"/>
          <w:i w:val="0"/>
          <w:iCs w:val="0"/>
          <w:color w:val="000000"/>
          <w:kern w:val="0"/>
          <w:sz w:val="21"/>
          <w:szCs w:val="21"/>
          <w:u w:val="none"/>
          <w:lang w:val="en-US" w:eastAsia="zh-CN" w:bidi="ar"/>
        </w:rPr>
        <w:t>福建省儿童医院</w:t>
      </w:r>
      <w:r>
        <w:rPr>
          <w:rFonts w:hint="eastAsia"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福建省妇幼保健院</w:t>
      </w:r>
      <w:r>
        <w:rPr>
          <w:rFonts w:hint="eastAsia" w:cs="宋体"/>
          <w:i w:val="0"/>
          <w:iCs w:val="0"/>
          <w:color w:val="000000"/>
          <w:kern w:val="0"/>
          <w:sz w:val="21"/>
          <w:szCs w:val="21"/>
          <w:u w:val="none"/>
          <w:lang w:val="en-US" w:eastAsia="zh-CN" w:bidi="ar"/>
        </w:rPr>
        <w:t>、</w:t>
      </w:r>
      <w:r>
        <w:rPr>
          <w:rFonts w:hint="default" w:ascii="宋体" w:hAnsi="宋体" w:eastAsia="宋体" w:cs="宋体"/>
          <w:i w:val="0"/>
          <w:iCs w:val="0"/>
          <w:color w:val="000000"/>
          <w:kern w:val="0"/>
          <w:sz w:val="21"/>
          <w:szCs w:val="21"/>
          <w:u w:val="none"/>
          <w:lang w:val="en-US" w:eastAsia="zh-CN" w:bidi="ar"/>
        </w:rPr>
        <w:t>航空总医院</w:t>
      </w:r>
      <w:r>
        <w:rPr>
          <w:rFonts w:hint="eastAsia"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新疆自治区中医医院</w:t>
      </w:r>
      <w:r>
        <w:rPr>
          <w:rFonts w:hint="eastAsia" w:cs="宋体"/>
          <w:i w:val="0"/>
          <w:iCs w:val="0"/>
          <w:color w:val="000000"/>
          <w:kern w:val="0"/>
          <w:sz w:val="21"/>
          <w:szCs w:val="21"/>
          <w:u w:val="none"/>
          <w:lang w:val="en-US" w:eastAsia="zh-CN" w:bidi="ar"/>
        </w:rPr>
        <w:t>、</w:t>
      </w:r>
      <w:r>
        <w:rPr>
          <w:rFonts w:hint="default" w:ascii="宋体" w:hAnsi="宋体" w:eastAsia="宋体" w:cs="宋体"/>
          <w:i w:val="0"/>
          <w:iCs w:val="0"/>
          <w:color w:val="000000"/>
          <w:kern w:val="0"/>
          <w:sz w:val="21"/>
          <w:szCs w:val="21"/>
          <w:u w:val="none"/>
          <w:lang w:val="en-US" w:eastAsia="zh-CN" w:bidi="ar"/>
        </w:rPr>
        <w:t>上海交通大学医学院附属第九人民医院</w:t>
      </w:r>
      <w:r>
        <w:rPr>
          <w:rFonts w:hint="eastAsia"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哈尔滨医科大学第一附属医院</w:t>
      </w:r>
      <w:r>
        <w:rPr>
          <w:rFonts w:hint="eastAsia" w:hAnsi="宋体" w:cs="宋体"/>
          <w:i w:val="0"/>
          <w:iCs w:val="0"/>
          <w:color w:val="000000"/>
          <w:kern w:val="0"/>
          <w:sz w:val="21"/>
          <w:szCs w:val="21"/>
          <w:u w:val="none"/>
          <w:lang w:val="en-US" w:eastAsia="zh-CN" w:bidi="ar"/>
        </w:rPr>
        <w:t>、</w:t>
      </w:r>
      <w:r>
        <w:rPr>
          <w:rFonts w:hint="default" w:ascii="宋体" w:hAnsi="宋体" w:eastAsia="宋体" w:cs="宋体"/>
          <w:i w:val="0"/>
          <w:iCs w:val="0"/>
          <w:color w:val="000000"/>
          <w:kern w:val="0"/>
          <w:sz w:val="21"/>
          <w:szCs w:val="21"/>
          <w:u w:val="none"/>
          <w:lang w:val="en-US" w:eastAsia="zh-CN" w:bidi="ar"/>
        </w:rPr>
        <w:t>广州市第一人民医院</w:t>
      </w:r>
      <w:r>
        <w:rPr>
          <w:rFonts w:hint="eastAsia" w:hAnsi="宋体" w:cs="宋体"/>
          <w:i w:val="0"/>
          <w:iCs w:val="0"/>
          <w:color w:val="000000"/>
          <w:kern w:val="0"/>
          <w:sz w:val="21"/>
          <w:szCs w:val="21"/>
          <w:u w:val="none"/>
          <w:lang w:val="en-US" w:eastAsia="zh-CN" w:bidi="ar"/>
        </w:rPr>
        <w:t>、</w:t>
      </w:r>
      <w:r>
        <w:rPr>
          <w:rFonts w:hint="default" w:ascii="宋体" w:hAnsi="宋体" w:eastAsia="宋体" w:cs="宋体"/>
          <w:i w:val="0"/>
          <w:iCs w:val="0"/>
          <w:color w:val="000000"/>
          <w:kern w:val="0"/>
          <w:sz w:val="21"/>
          <w:szCs w:val="21"/>
          <w:u w:val="none"/>
          <w:lang w:val="en-US" w:eastAsia="zh-CN" w:bidi="ar"/>
        </w:rPr>
        <w:t>浙江省人民医院</w:t>
      </w:r>
      <w:r>
        <w:rPr>
          <w:rFonts w:hint="eastAsia" w:hAnsi="宋体" w:cs="宋体"/>
          <w:i w:val="0"/>
          <w:iCs w:val="0"/>
          <w:color w:val="000000"/>
          <w:kern w:val="0"/>
          <w:sz w:val="21"/>
          <w:szCs w:val="21"/>
          <w:u w:val="none"/>
          <w:lang w:val="en-US" w:eastAsia="zh-CN" w:bidi="ar"/>
        </w:rPr>
        <w:t>、</w:t>
      </w:r>
      <w:r>
        <w:rPr>
          <w:rFonts w:hint="default" w:ascii="宋体" w:hAnsi="宋体" w:eastAsia="宋体" w:cs="宋体"/>
          <w:i w:val="0"/>
          <w:iCs w:val="0"/>
          <w:color w:val="000000"/>
          <w:kern w:val="0"/>
          <w:sz w:val="21"/>
          <w:szCs w:val="21"/>
          <w:u w:val="none"/>
          <w:lang w:val="en-US" w:eastAsia="zh-CN" w:bidi="ar"/>
        </w:rPr>
        <w:t>江西省人民医院</w:t>
      </w:r>
      <w:r>
        <w:rPr>
          <w:rFonts w:hint="eastAsia" w:hAnsi="宋体" w:cs="宋体"/>
          <w:i w:val="0"/>
          <w:iCs w:val="0"/>
          <w:color w:val="000000"/>
          <w:kern w:val="0"/>
          <w:sz w:val="21"/>
          <w:szCs w:val="21"/>
          <w:u w:val="none"/>
          <w:lang w:val="en-US" w:eastAsia="zh-CN" w:bidi="ar"/>
        </w:rPr>
        <w:t>、</w:t>
      </w:r>
      <w:r>
        <w:rPr>
          <w:rFonts w:hint="default" w:ascii="宋体" w:hAnsi="宋体" w:eastAsia="宋体" w:cs="宋体"/>
          <w:i w:val="0"/>
          <w:iCs w:val="0"/>
          <w:color w:val="000000"/>
          <w:kern w:val="0"/>
          <w:sz w:val="21"/>
          <w:szCs w:val="21"/>
          <w:u w:val="none"/>
          <w:lang w:val="en-US" w:eastAsia="zh-CN" w:bidi="ar"/>
        </w:rPr>
        <w:t>赣南医科大学第一附属医院</w:t>
      </w:r>
      <w:r>
        <w:rPr>
          <w:rFonts w:hint="eastAsia" w:cs="宋体"/>
          <w:i w:val="0"/>
          <w:iCs w:val="0"/>
          <w:color w:val="000000"/>
          <w:kern w:val="0"/>
          <w:sz w:val="21"/>
          <w:szCs w:val="21"/>
          <w:u w:val="none"/>
          <w:lang w:val="en-US" w:eastAsia="zh-CN" w:bidi="ar"/>
        </w:rPr>
        <w:t>、</w:t>
      </w:r>
      <w:r>
        <w:rPr>
          <w:rFonts w:hint="default" w:ascii="宋体" w:hAnsi="宋体" w:eastAsia="宋体" w:cs="宋体"/>
          <w:i w:val="0"/>
          <w:iCs w:val="0"/>
          <w:color w:val="000000"/>
          <w:kern w:val="0"/>
          <w:sz w:val="21"/>
          <w:szCs w:val="21"/>
          <w:u w:val="none"/>
          <w:lang w:val="en-US" w:eastAsia="zh-CN" w:bidi="ar"/>
        </w:rPr>
        <w:t>赣州市人民医院</w:t>
      </w:r>
      <w:r>
        <w:rPr>
          <w:rFonts w:hint="eastAsia" w:cs="宋体"/>
          <w:i w:val="0"/>
          <w:iCs w:val="0"/>
          <w:color w:val="000000"/>
          <w:kern w:val="0"/>
          <w:sz w:val="21"/>
          <w:szCs w:val="21"/>
          <w:u w:val="none"/>
          <w:lang w:val="en-US" w:eastAsia="zh-CN" w:bidi="ar"/>
        </w:rPr>
        <w:t>、</w:t>
      </w:r>
      <w:r>
        <w:rPr>
          <w:rFonts w:hint="default" w:ascii="宋体" w:hAnsi="宋体" w:eastAsia="宋体" w:cs="宋体"/>
          <w:i w:val="0"/>
          <w:iCs w:val="0"/>
          <w:color w:val="000000"/>
          <w:kern w:val="0"/>
          <w:sz w:val="21"/>
          <w:szCs w:val="21"/>
          <w:u w:val="none"/>
          <w:lang w:val="en-US" w:eastAsia="zh-CN" w:bidi="ar"/>
        </w:rPr>
        <w:t>杭州萧山第一人民医院</w:t>
      </w:r>
      <w:r>
        <w:rPr>
          <w:rFonts w:hint="eastAsia" w:cs="宋体"/>
          <w:i w:val="0"/>
          <w:iCs w:val="0"/>
          <w:color w:val="000000"/>
          <w:kern w:val="0"/>
          <w:sz w:val="21"/>
          <w:szCs w:val="21"/>
          <w:u w:val="none"/>
          <w:lang w:val="en-US" w:eastAsia="zh-CN" w:bidi="ar"/>
        </w:rPr>
        <w:t>、</w:t>
      </w:r>
      <w:r>
        <w:rPr>
          <w:rFonts w:hint="default" w:ascii="宋体" w:hAnsi="宋体" w:eastAsia="宋体" w:cs="宋体"/>
          <w:i w:val="0"/>
          <w:iCs w:val="0"/>
          <w:color w:val="000000"/>
          <w:kern w:val="0"/>
          <w:sz w:val="21"/>
          <w:szCs w:val="21"/>
          <w:u w:val="none"/>
          <w:lang w:val="en-US" w:eastAsia="zh-CN" w:bidi="ar"/>
        </w:rPr>
        <w:t>兴国县人民医院</w:t>
      </w:r>
      <w:r>
        <w:rPr>
          <w:rFonts w:hint="eastAsia" w:cs="宋体"/>
          <w:i w:val="0"/>
          <w:iCs w:val="0"/>
          <w:color w:val="000000"/>
          <w:kern w:val="0"/>
          <w:sz w:val="21"/>
          <w:szCs w:val="21"/>
          <w:u w:val="none"/>
          <w:lang w:val="en-US" w:eastAsia="zh-CN" w:bidi="ar"/>
        </w:rPr>
        <w:t>、福州蓝图生物科技有限公司</w:t>
      </w:r>
      <w:r>
        <w:rPr>
          <w:rFonts w:hint="eastAsia" w:ascii="Times New Roman"/>
          <w:sz w:val="21"/>
          <w:szCs w:val="21"/>
          <w:highlight w:val="none"/>
          <w:lang w:val="en-US" w:eastAsia="zh-CN"/>
        </w:rPr>
        <w:t>。</w:t>
      </w:r>
    </w:p>
    <w:p>
      <w:pPr>
        <w:pStyle w:val="16"/>
        <w:spacing w:line="360" w:lineRule="exact"/>
        <w:ind w:firstLine="420"/>
        <w:rPr>
          <w:rFonts w:ascii="Times New Roman"/>
          <w:highlight w:val="none"/>
        </w:rPr>
      </w:pPr>
      <w:r>
        <w:rPr>
          <w:rFonts w:hint="eastAsia" w:ascii="Times New Roman"/>
          <w:highlight w:val="none"/>
        </w:rPr>
        <w:t>本文件主要起草人：</w:t>
      </w:r>
      <w:r>
        <w:rPr>
          <w:rFonts w:hint="eastAsia" w:ascii="Times New Roman"/>
          <w:highlight w:val="none"/>
          <w:lang w:val="en-US" w:eastAsia="zh-CN"/>
        </w:rPr>
        <w:t>康林</w:t>
      </w:r>
      <w:r>
        <w:rPr>
          <w:rFonts w:hint="eastAsia" w:ascii="Times New Roman"/>
          <w:highlight w:val="none"/>
        </w:rPr>
        <w:t>、</w:t>
      </w:r>
      <w:r>
        <w:rPr>
          <w:rFonts w:hint="eastAsia" w:ascii="Times New Roman"/>
          <w:highlight w:val="none"/>
          <w:lang w:val="en-US" w:eastAsia="zh-CN"/>
        </w:rPr>
        <w:t>徐平</w:t>
      </w:r>
      <w:r>
        <w:rPr>
          <w:rFonts w:hint="eastAsia" w:ascii="Times New Roman"/>
          <w:highlight w:val="none"/>
        </w:rPr>
        <w:t>、</w:t>
      </w:r>
      <w:r>
        <w:rPr>
          <w:rFonts w:hint="eastAsia" w:ascii="Times New Roman"/>
          <w:highlight w:val="none"/>
          <w:lang w:val="en-US" w:eastAsia="zh-CN"/>
        </w:rPr>
        <w:t>熊丽娇</w:t>
      </w:r>
      <w:r>
        <w:rPr>
          <w:rFonts w:hint="eastAsia" w:ascii="Times New Roman"/>
          <w:highlight w:val="none"/>
        </w:rPr>
        <w:t>、</w:t>
      </w:r>
      <w:r>
        <w:rPr>
          <w:rFonts w:hint="eastAsia" w:ascii="Times New Roman"/>
          <w:highlight w:val="none"/>
          <w:lang w:val="en-US" w:eastAsia="zh-CN"/>
        </w:rPr>
        <w:t>林志刚、叶晓燕。</w:t>
      </w:r>
    </w:p>
    <w:p>
      <w:pPr>
        <w:pStyle w:val="16"/>
        <w:spacing w:line="360" w:lineRule="exact"/>
        <w:ind w:firstLine="420"/>
        <w:rPr>
          <w:rFonts w:hint="eastAsia" w:hAnsi="宋体" w:eastAsia="宋体"/>
          <w:sz w:val="21"/>
          <w:szCs w:val="21"/>
          <w:highlight w:val="none"/>
          <w:lang w:eastAsia="zh-CN"/>
        </w:rPr>
      </w:pPr>
      <w:r>
        <w:rPr>
          <w:rFonts w:hint="eastAsia" w:ascii="Times New Roman"/>
          <w:sz w:val="21"/>
          <w:szCs w:val="21"/>
          <w:highlight w:val="none"/>
        </w:rPr>
        <w:t>本文件其它起草人：</w:t>
      </w:r>
      <w:r>
        <w:rPr>
          <w:rFonts w:hint="eastAsia" w:ascii="Times New Roman"/>
          <w:sz w:val="21"/>
          <w:szCs w:val="21"/>
          <w:highlight w:val="none"/>
          <w:lang w:val="en-US" w:eastAsia="zh-CN"/>
        </w:rPr>
        <w:t>吴炎</w:t>
      </w:r>
      <w:r>
        <w:rPr>
          <w:rFonts w:hint="eastAsia" w:ascii="Times New Roman"/>
          <w:sz w:val="21"/>
          <w:szCs w:val="21"/>
          <w:highlight w:val="none"/>
        </w:rPr>
        <w:t>、</w:t>
      </w:r>
      <w:r>
        <w:rPr>
          <w:rFonts w:hint="eastAsia"/>
          <w:color w:val="auto"/>
          <w:sz w:val="21"/>
          <w:szCs w:val="21"/>
          <w:highlight w:val="none"/>
          <w:lang w:val="en-US" w:eastAsia="zh-CN"/>
        </w:rPr>
        <w:t>钟历勇</w:t>
      </w:r>
      <w:r>
        <w:rPr>
          <w:rFonts w:hint="eastAsia" w:ascii="Times New Roman"/>
          <w:sz w:val="21"/>
          <w:szCs w:val="21"/>
          <w:highlight w:val="none"/>
        </w:rPr>
        <w:t>、</w:t>
      </w:r>
      <w:r>
        <w:rPr>
          <w:rFonts w:hint="default" w:ascii="宋体" w:hAnsi="宋体" w:eastAsia="宋体" w:cs="宋体"/>
          <w:i w:val="0"/>
          <w:iCs w:val="0"/>
          <w:color w:val="000000"/>
          <w:kern w:val="0"/>
          <w:sz w:val="21"/>
          <w:szCs w:val="21"/>
          <w:u w:val="none"/>
          <w:lang w:val="en-US" w:eastAsia="zh-CN" w:bidi="ar"/>
        </w:rPr>
        <w:t>徐剑</w:t>
      </w:r>
      <w:r>
        <w:rPr>
          <w:rFonts w:hint="eastAsia" w:ascii="Times New Roman"/>
          <w:sz w:val="21"/>
          <w:szCs w:val="21"/>
          <w:highlight w:val="none"/>
        </w:rPr>
        <w:t>、王立新</w:t>
      </w:r>
      <w:r>
        <w:rPr>
          <w:rFonts w:hint="eastAsia" w:ascii="Times New Roman"/>
          <w:sz w:val="21"/>
          <w:szCs w:val="21"/>
          <w:highlight w:val="none"/>
          <w:lang w:eastAsia="zh-CN"/>
        </w:rPr>
        <w:t>、</w:t>
      </w:r>
      <w:r>
        <w:rPr>
          <w:rFonts w:hint="eastAsia" w:ascii="Times New Roman"/>
          <w:sz w:val="21"/>
          <w:szCs w:val="21"/>
          <w:highlight w:val="none"/>
        </w:rPr>
        <w:t>林娟</w:t>
      </w:r>
      <w:r>
        <w:rPr>
          <w:rFonts w:hint="eastAsia" w:ascii="Times New Roman"/>
          <w:sz w:val="21"/>
          <w:szCs w:val="21"/>
          <w:highlight w:val="none"/>
          <w:lang w:eastAsia="zh-CN"/>
        </w:rPr>
        <w:t>、</w:t>
      </w:r>
      <w:r>
        <w:rPr>
          <w:rFonts w:hint="eastAsia" w:ascii="Times New Roman"/>
          <w:sz w:val="21"/>
          <w:szCs w:val="21"/>
          <w:highlight w:val="none"/>
          <w:lang w:val="en-US" w:eastAsia="zh-CN"/>
        </w:rPr>
        <w:t>宋李斌、</w:t>
      </w:r>
      <w:r>
        <w:rPr>
          <w:rFonts w:hint="eastAsia" w:ascii="Times New Roman"/>
          <w:sz w:val="21"/>
          <w:szCs w:val="21"/>
          <w:highlight w:val="none"/>
        </w:rPr>
        <w:t>方红娟</w:t>
      </w:r>
      <w:r>
        <w:rPr>
          <w:rFonts w:hint="eastAsia" w:ascii="Times New Roman"/>
          <w:sz w:val="21"/>
          <w:szCs w:val="21"/>
          <w:highlight w:val="none"/>
          <w:lang w:eastAsia="zh-CN"/>
        </w:rPr>
        <w:t>、</w:t>
      </w:r>
      <w:r>
        <w:rPr>
          <w:rFonts w:hint="eastAsia" w:ascii="Times New Roman"/>
          <w:sz w:val="21"/>
          <w:szCs w:val="21"/>
          <w:highlight w:val="none"/>
        </w:rPr>
        <w:t>韩兵</w:t>
      </w:r>
      <w:r>
        <w:rPr>
          <w:rFonts w:hint="eastAsia" w:ascii="Times New Roman"/>
          <w:sz w:val="21"/>
          <w:szCs w:val="21"/>
          <w:highlight w:val="none"/>
          <w:lang w:eastAsia="zh-CN"/>
        </w:rPr>
        <w:t>、</w:t>
      </w:r>
      <w:r>
        <w:rPr>
          <w:rFonts w:hint="eastAsia" w:ascii="Times New Roman"/>
          <w:sz w:val="21"/>
          <w:szCs w:val="21"/>
          <w:highlight w:val="none"/>
        </w:rPr>
        <w:t>叶潇</w:t>
      </w:r>
      <w:r>
        <w:rPr>
          <w:rFonts w:hint="eastAsia" w:ascii="Times New Roman"/>
          <w:sz w:val="21"/>
          <w:szCs w:val="21"/>
          <w:highlight w:val="none"/>
          <w:lang w:eastAsia="zh-CN"/>
        </w:rPr>
        <w:t>、</w:t>
      </w:r>
      <w:r>
        <w:rPr>
          <w:rFonts w:hint="eastAsia" w:ascii="Times New Roman"/>
          <w:sz w:val="21"/>
          <w:szCs w:val="21"/>
          <w:highlight w:val="none"/>
        </w:rPr>
        <w:t>陈发秀</w:t>
      </w:r>
      <w:r>
        <w:rPr>
          <w:rFonts w:hint="eastAsia" w:ascii="Times New Roman"/>
          <w:sz w:val="21"/>
          <w:szCs w:val="21"/>
          <w:highlight w:val="none"/>
          <w:lang w:eastAsia="zh-CN"/>
        </w:rPr>
        <w:t>、</w:t>
      </w:r>
      <w:r>
        <w:rPr>
          <w:rFonts w:hint="eastAsia" w:ascii="Times New Roman"/>
          <w:sz w:val="21"/>
          <w:szCs w:val="21"/>
          <w:highlight w:val="none"/>
          <w:lang w:val="en-US" w:eastAsia="zh-CN"/>
        </w:rPr>
        <w:t>林奉森、</w:t>
      </w:r>
      <w:r>
        <w:rPr>
          <w:rFonts w:hint="eastAsia" w:ascii="Times New Roman"/>
          <w:sz w:val="21"/>
          <w:szCs w:val="21"/>
          <w:highlight w:val="none"/>
        </w:rPr>
        <w:t>许荣</w:t>
      </w:r>
      <w:r>
        <w:rPr>
          <w:rFonts w:hint="eastAsia" w:ascii="Times New Roman"/>
          <w:sz w:val="21"/>
          <w:szCs w:val="21"/>
          <w:highlight w:val="none"/>
          <w:lang w:eastAsia="zh-CN"/>
        </w:rPr>
        <w:t>、</w:t>
      </w:r>
      <w:r>
        <w:rPr>
          <w:rFonts w:hint="eastAsia" w:ascii="Times New Roman"/>
          <w:sz w:val="21"/>
          <w:szCs w:val="21"/>
          <w:highlight w:val="none"/>
        </w:rPr>
        <w:t>谢芳</w:t>
      </w:r>
      <w:r>
        <w:rPr>
          <w:rFonts w:hint="eastAsia" w:ascii="Times New Roman"/>
          <w:sz w:val="21"/>
          <w:szCs w:val="21"/>
          <w:highlight w:val="none"/>
          <w:lang w:eastAsia="zh-CN"/>
        </w:rPr>
        <w:t>、</w:t>
      </w:r>
      <w:r>
        <w:rPr>
          <w:rFonts w:hint="eastAsia" w:ascii="Times New Roman"/>
          <w:sz w:val="21"/>
          <w:szCs w:val="21"/>
          <w:highlight w:val="none"/>
        </w:rPr>
        <w:t>阿曼古丽·苏力唐</w:t>
      </w:r>
      <w:r>
        <w:rPr>
          <w:rFonts w:hint="eastAsia" w:ascii="Times New Roman"/>
          <w:sz w:val="21"/>
          <w:szCs w:val="21"/>
          <w:highlight w:val="none"/>
          <w:lang w:eastAsia="zh-CN"/>
        </w:rPr>
        <w:t>、</w:t>
      </w:r>
      <w:r>
        <w:rPr>
          <w:rFonts w:hint="eastAsia" w:ascii="Times New Roman"/>
          <w:sz w:val="21"/>
          <w:szCs w:val="21"/>
          <w:highlight w:val="none"/>
        </w:rPr>
        <w:t>张宝玉</w:t>
      </w:r>
      <w:r>
        <w:rPr>
          <w:rFonts w:hint="eastAsia" w:ascii="Times New Roman"/>
          <w:sz w:val="21"/>
          <w:szCs w:val="21"/>
          <w:highlight w:val="none"/>
          <w:lang w:eastAsia="zh-CN"/>
        </w:rPr>
        <w:t>、</w:t>
      </w:r>
      <w:r>
        <w:rPr>
          <w:rFonts w:hint="eastAsia" w:ascii="Times New Roman"/>
          <w:sz w:val="21"/>
          <w:szCs w:val="21"/>
          <w:highlight w:val="none"/>
        </w:rPr>
        <w:t>张秀珍</w:t>
      </w:r>
      <w:r>
        <w:rPr>
          <w:rFonts w:hint="eastAsia" w:ascii="Times New Roman"/>
          <w:sz w:val="21"/>
          <w:szCs w:val="21"/>
          <w:highlight w:val="none"/>
          <w:lang w:eastAsia="zh-CN"/>
        </w:rPr>
        <w:t>、</w:t>
      </w:r>
      <w:r>
        <w:rPr>
          <w:rFonts w:hint="eastAsia" w:ascii="Times New Roman"/>
          <w:sz w:val="21"/>
          <w:szCs w:val="21"/>
          <w:highlight w:val="none"/>
        </w:rPr>
        <w:t>蒋竹奕</w:t>
      </w:r>
      <w:r>
        <w:rPr>
          <w:rFonts w:hint="eastAsia" w:ascii="Times New Roman"/>
          <w:sz w:val="21"/>
          <w:szCs w:val="21"/>
          <w:highlight w:val="none"/>
          <w:lang w:eastAsia="zh-CN"/>
        </w:rPr>
        <w:t>、</w:t>
      </w:r>
      <w:r>
        <w:rPr>
          <w:rFonts w:hint="eastAsia" w:ascii="Times New Roman"/>
          <w:sz w:val="21"/>
          <w:szCs w:val="21"/>
          <w:highlight w:val="none"/>
        </w:rPr>
        <w:t>曲光瑾</w:t>
      </w:r>
      <w:r>
        <w:rPr>
          <w:rFonts w:hint="eastAsia" w:ascii="Times New Roman"/>
          <w:sz w:val="21"/>
          <w:szCs w:val="21"/>
          <w:highlight w:val="none"/>
          <w:lang w:eastAsia="zh-CN"/>
        </w:rPr>
        <w:t>、</w:t>
      </w:r>
      <w:r>
        <w:rPr>
          <w:rFonts w:hint="eastAsia" w:ascii="Times New Roman"/>
          <w:sz w:val="21"/>
          <w:szCs w:val="21"/>
          <w:highlight w:val="none"/>
        </w:rPr>
        <w:t>陈子龙</w:t>
      </w:r>
      <w:r>
        <w:rPr>
          <w:rFonts w:hint="eastAsia" w:ascii="Times New Roman"/>
          <w:sz w:val="21"/>
          <w:szCs w:val="21"/>
          <w:highlight w:val="none"/>
          <w:lang w:eastAsia="zh-CN"/>
        </w:rPr>
        <w:t>、</w:t>
      </w:r>
      <w:r>
        <w:rPr>
          <w:rFonts w:hint="eastAsia" w:ascii="Times New Roman"/>
          <w:sz w:val="21"/>
          <w:szCs w:val="21"/>
          <w:highlight w:val="none"/>
        </w:rPr>
        <w:t>黄倩芳</w:t>
      </w:r>
      <w:r>
        <w:rPr>
          <w:rFonts w:hint="eastAsia" w:ascii="Times New Roman"/>
          <w:sz w:val="21"/>
          <w:szCs w:val="21"/>
          <w:highlight w:val="none"/>
          <w:lang w:eastAsia="zh-CN"/>
        </w:rPr>
        <w:t>、</w:t>
      </w:r>
      <w:r>
        <w:rPr>
          <w:rFonts w:hint="eastAsia" w:ascii="Times New Roman"/>
          <w:sz w:val="21"/>
          <w:szCs w:val="21"/>
          <w:highlight w:val="none"/>
        </w:rPr>
        <w:t>綦雯雯</w:t>
      </w:r>
      <w:r>
        <w:rPr>
          <w:rFonts w:hint="eastAsia" w:ascii="Times New Roman"/>
          <w:sz w:val="21"/>
          <w:szCs w:val="21"/>
          <w:highlight w:val="none"/>
          <w:lang w:eastAsia="zh-CN"/>
        </w:rPr>
        <w:t>、</w:t>
      </w:r>
      <w:r>
        <w:rPr>
          <w:rFonts w:hint="eastAsia" w:ascii="Times New Roman"/>
          <w:sz w:val="21"/>
          <w:szCs w:val="21"/>
          <w:highlight w:val="none"/>
        </w:rPr>
        <w:t>王延雪</w:t>
      </w:r>
      <w:r>
        <w:rPr>
          <w:rFonts w:hint="eastAsia" w:ascii="Times New Roman"/>
          <w:sz w:val="21"/>
          <w:szCs w:val="21"/>
          <w:highlight w:val="none"/>
          <w:lang w:eastAsia="zh-CN"/>
        </w:rPr>
        <w:t>、</w:t>
      </w:r>
      <w:r>
        <w:rPr>
          <w:rFonts w:hint="eastAsia" w:ascii="Times New Roman"/>
          <w:sz w:val="21"/>
          <w:szCs w:val="21"/>
          <w:highlight w:val="none"/>
        </w:rPr>
        <w:t>吴崇数</w:t>
      </w:r>
      <w:r>
        <w:rPr>
          <w:rFonts w:hint="eastAsia" w:ascii="Times New Roman"/>
          <w:sz w:val="21"/>
          <w:szCs w:val="21"/>
          <w:highlight w:val="none"/>
          <w:lang w:eastAsia="zh-CN"/>
        </w:rPr>
        <w:t>、</w:t>
      </w:r>
      <w:r>
        <w:rPr>
          <w:rFonts w:hint="eastAsia" w:ascii="Times New Roman"/>
          <w:sz w:val="21"/>
          <w:szCs w:val="21"/>
          <w:highlight w:val="none"/>
          <w:lang w:val="en-US" w:eastAsia="zh-CN"/>
        </w:rPr>
        <w:t>苏友智、</w:t>
      </w:r>
      <w:r>
        <w:rPr>
          <w:rFonts w:hint="eastAsia" w:ascii="Times New Roman"/>
          <w:sz w:val="21"/>
          <w:szCs w:val="21"/>
          <w:highlight w:val="none"/>
        </w:rPr>
        <w:t>宋小英</w:t>
      </w:r>
      <w:r>
        <w:rPr>
          <w:rFonts w:hint="eastAsia" w:ascii="Times New Roman"/>
          <w:sz w:val="21"/>
          <w:szCs w:val="21"/>
          <w:highlight w:val="none"/>
          <w:lang w:eastAsia="zh-CN"/>
        </w:rPr>
        <w:t>、</w:t>
      </w:r>
      <w:r>
        <w:rPr>
          <w:rFonts w:hint="eastAsia" w:ascii="Times New Roman"/>
          <w:sz w:val="21"/>
          <w:szCs w:val="21"/>
          <w:highlight w:val="none"/>
          <w:lang w:val="en-US" w:eastAsia="zh-CN"/>
        </w:rPr>
        <w:t>梅运婷</w:t>
      </w:r>
      <w:r>
        <w:rPr>
          <w:rFonts w:hint="eastAsia" w:ascii="Times New Roman"/>
          <w:sz w:val="21"/>
          <w:szCs w:val="21"/>
          <w:highlight w:val="none"/>
          <w:lang w:eastAsia="zh-CN"/>
        </w:rPr>
        <w:t>。</w:t>
      </w:r>
    </w:p>
    <w:p>
      <w:pPr>
        <w:pStyle w:val="16"/>
        <w:ind w:firstLine="420"/>
        <w:rPr>
          <w:rFonts w:hAnsi="宋体"/>
        </w:rPr>
      </w:pPr>
    </w:p>
    <w:p>
      <w:pPr>
        <w:pStyle w:val="16"/>
        <w:ind w:firstLine="420"/>
      </w:pPr>
      <w:r>
        <w:br w:type="page"/>
      </w:r>
    </w:p>
    <w:p>
      <w:pPr>
        <w:widowControl/>
        <w:rPr>
          <w:rFonts w:hint="eastAsia" w:ascii="宋体" w:hAnsi="宋体" w:eastAsia="宋体" w:cs="宋体"/>
          <w:i w:val="0"/>
          <w:iCs/>
          <w:color w:val="auto"/>
          <w:kern w:val="0"/>
          <w:sz w:val="21"/>
          <w:szCs w:val="21"/>
        </w:rPr>
        <w:sectPr>
          <w:pgSz w:w="11906" w:h="16838"/>
          <w:pgMar w:top="1440" w:right="1797" w:bottom="1440" w:left="1797" w:header="1418" w:footer="1134" w:gutter="0"/>
          <w:pgNumType w:fmt="upperRoman" w:start="1"/>
          <w:cols w:space="720" w:num="1"/>
          <w:formProt w:val="0"/>
          <w:docGrid w:linePitch="312" w:charSpace="0"/>
        </w:sectPr>
      </w:pPr>
    </w:p>
    <w:p>
      <w:pPr>
        <w:pStyle w:val="18"/>
        <w:shd w:val="clear" w:color="FFFFFF" w:fill="FFFFFF"/>
        <w:rPr>
          <w:rFonts w:hint="eastAsia"/>
          <w:b w:val="0"/>
          <w:bCs w:val="0"/>
        </w:rPr>
      </w:pPr>
      <w:bookmarkStart w:id="35" w:name="_GoBack"/>
      <w:bookmarkStart w:id="3" w:name="_Toc459704603"/>
      <w:bookmarkStart w:id="4" w:name="_Toc459724774"/>
      <w:bookmarkStart w:id="5" w:name="_Toc509933849"/>
      <w:bookmarkStart w:id="6" w:name="_Toc510534528"/>
      <w:bookmarkStart w:id="7" w:name="_Toc459720143"/>
      <w:r>
        <w:rPr>
          <w:rFonts w:hint="eastAsia"/>
          <w:b w:val="0"/>
          <w:bCs w:val="0"/>
        </w:rPr>
        <w:t>糖尿病全周期数字健康管理服务规范</w:t>
      </w:r>
    </w:p>
    <w:bookmarkEnd w:id="35"/>
    <w:p>
      <w:pPr>
        <w:pStyle w:val="19"/>
        <w:bidi w:val="0"/>
      </w:pPr>
      <w:bookmarkStart w:id="8" w:name="_Toc28792"/>
      <w:r>
        <w:t>范围</w:t>
      </w:r>
      <w:bookmarkEnd w:id="3"/>
      <w:bookmarkEnd w:id="4"/>
      <w:bookmarkEnd w:id="5"/>
      <w:bookmarkEnd w:id="6"/>
      <w:bookmarkEnd w:id="7"/>
      <w:bookmarkEnd w:id="8"/>
    </w:p>
    <w:p>
      <w:pPr>
        <w:rPr>
          <w:rFonts w:hint="eastAsia"/>
          <w:sz w:val="21"/>
          <w:szCs w:val="21"/>
        </w:rPr>
      </w:pPr>
      <w:bookmarkStart w:id="9" w:name="_Toc459720144"/>
      <w:bookmarkStart w:id="10" w:name="_Toc459724775"/>
      <w:bookmarkStart w:id="11" w:name="_Toc459704604"/>
      <w:r>
        <w:rPr>
          <w:rFonts w:hint="eastAsia"/>
          <w:sz w:val="21"/>
          <w:szCs w:val="21"/>
        </w:rPr>
        <w:t>本文件规定了糖尿病全周期数字健康管理服务的总则、服务架构与流程、分阶段管理内容、数据管理与智能应用、技术支撑与安全要求、服务质量控制、人员资质与能力要求等内容</w:t>
      </w:r>
      <w:r>
        <w:rPr>
          <w:rFonts w:hint="eastAsia"/>
          <w:sz w:val="21"/>
          <w:szCs w:val="21"/>
          <w:lang w:eastAsia="zh-CN"/>
        </w:rPr>
        <w:t>，</w:t>
      </w:r>
      <w:r>
        <w:rPr>
          <w:rFonts w:hint="eastAsia"/>
          <w:sz w:val="21"/>
          <w:szCs w:val="21"/>
        </w:rPr>
        <w:t>覆盖糖尿病</w:t>
      </w:r>
      <w:r>
        <w:rPr>
          <w:rFonts w:hint="eastAsia"/>
          <w:sz w:val="21"/>
          <w:szCs w:val="21"/>
          <w:lang w:val="en-US" w:eastAsia="zh-CN"/>
        </w:rPr>
        <w:t>预防、</w:t>
      </w:r>
      <w:r>
        <w:rPr>
          <w:rFonts w:hint="eastAsia"/>
          <w:sz w:val="21"/>
          <w:szCs w:val="21"/>
        </w:rPr>
        <w:t>筛查预警、诊断评估、治疗干预、随访管理、康复维护等全流程管理环节。</w:t>
      </w:r>
    </w:p>
    <w:p>
      <w:pPr>
        <w:rPr>
          <w:rFonts w:hint="eastAsia"/>
          <w:sz w:val="21"/>
          <w:szCs w:val="21"/>
        </w:rPr>
      </w:pPr>
      <w:r>
        <w:rPr>
          <w:rFonts w:hint="eastAsia"/>
          <w:sz w:val="21"/>
          <w:szCs w:val="21"/>
        </w:rPr>
        <w:t>本文件适用于为糖尿病患者（</w:t>
      </w:r>
      <w:r>
        <w:rPr>
          <w:rFonts w:hint="eastAsia"/>
          <w:sz w:val="21"/>
          <w:szCs w:val="21"/>
          <w:lang w:val="en-US" w:eastAsia="zh-CN"/>
        </w:rPr>
        <w:t>2型糖尿病，妊娠期糖尿病或其他有生活方式管理的需求的糖尿病也可参照本标准并结合临床指南进行</w:t>
      </w:r>
      <w:r>
        <w:rPr>
          <w:rFonts w:hint="eastAsia"/>
          <w:sz w:val="21"/>
          <w:szCs w:val="21"/>
        </w:rPr>
        <w:t>）提供全周期数字健康管理服务的医疗机构、健康管理机构、数字健康服务提供商等相关主体</w:t>
      </w:r>
      <w:r>
        <w:rPr>
          <w:rFonts w:hint="eastAsia"/>
          <w:sz w:val="21"/>
          <w:szCs w:val="21"/>
          <w:lang w:eastAsia="zh-CN"/>
        </w:rPr>
        <w:t>。</w:t>
      </w:r>
    </w:p>
    <w:p>
      <w:pPr>
        <w:rPr>
          <w:rFonts w:hint="eastAsia"/>
          <w:sz w:val="21"/>
          <w:szCs w:val="21"/>
        </w:rPr>
      </w:pPr>
      <w:r>
        <w:rPr>
          <w:rFonts w:hint="eastAsia"/>
          <w:sz w:val="21"/>
          <w:szCs w:val="21"/>
        </w:rPr>
        <w:t>本文件不适用于糖尿病急性并发症的紧急救治管理。</w:t>
      </w:r>
    </w:p>
    <w:p>
      <w:pPr>
        <w:pStyle w:val="19"/>
        <w:bidi w:val="0"/>
      </w:pPr>
      <w:bookmarkStart w:id="12" w:name="_Toc30621"/>
      <w:bookmarkStart w:id="13" w:name="_Toc509933850"/>
      <w:bookmarkStart w:id="14" w:name="_Toc510534529"/>
      <w:r>
        <w:t>规范性引用文件</w:t>
      </w:r>
      <w:bookmarkEnd w:id="9"/>
      <w:bookmarkEnd w:id="10"/>
      <w:bookmarkEnd w:id="11"/>
      <w:bookmarkEnd w:id="12"/>
      <w:bookmarkEnd w:id="13"/>
      <w:bookmarkEnd w:id="14"/>
    </w:p>
    <w:p>
      <w:pPr>
        <w:pStyle w:val="16"/>
        <w:tabs>
          <w:tab w:val="center" w:pos="4201"/>
          <w:tab w:val="right" w:leader="dot" w:pos="9298"/>
        </w:tabs>
        <w:spacing w:line="360" w:lineRule="exact"/>
        <w:ind w:firstLine="420"/>
        <w:rPr>
          <w:rFonts w:ascii="Times New Roman"/>
          <w:color w:val="000000"/>
        </w:rPr>
      </w:pPr>
      <w:bookmarkStart w:id="15" w:name="_Toc459704605"/>
      <w:bookmarkEnd w:id="15"/>
      <w:bookmarkStart w:id="16" w:name="_Toc459720145"/>
      <w:bookmarkStart w:id="17" w:name="_Toc459724776"/>
      <w:r>
        <w:rPr>
          <w:rFonts w:hint="eastAsia" w:ascii="Times New Roman"/>
          <w:color w:val="000000"/>
        </w:rPr>
        <w:t>下列文件对本文件的应用是必不可少的。凡是注日期的引用文件，仅注日期的版本适用于本文件。凡是不注日期的引用文件，其最新版本（包括所有的修改单）适用于本文件。</w:t>
      </w:r>
    </w:p>
    <w:p>
      <w:pPr>
        <w:rPr>
          <w:rFonts w:hint="eastAsia"/>
          <w:sz w:val="21"/>
          <w:szCs w:val="21"/>
        </w:rPr>
      </w:pPr>
      <w:r>
        <w:rPr>
          <w:rFonts w:hint="eastAsia"/>
          <w:sz w:val="21"/>
          <w:szCs w:val="21"/>
        </w:rPr>
        <w:t>GB/T 22239 信息安全技术 网络安全等级保护基本要求</w:t>
      </w:r>
    </w:p>
    <w:p>
      <w:pPr>
        <w:rPr>
          <w:rFonts w:hint="eastAsia"/>
          <w:sz w:val="21"/>
          <w:szCs w:val="21"/>
        </w:rPr>
      </w:pPr>
      <w:r>
        <w:rPr>
          <w:rFonts w:hint="eastAsia"/>
          <w:sz w:val="21"/>
          <w:szCs w:val="21"/>
        </w:rPr>
        <w:t>GB/T 35273 信息安全技术 个人信息安全规范</w:t>
      </w:r>
    </w:p>
    <w:p>
      <w:pPr>
        <w:rPr>
          <w:rFonts w:hint="eastAsia"/>
          <w:sz w:val="21"/>
          <w:szCs w:val="21"/>
        </w:rPr>
      </w:pPr>
      <w:r>
        <w:rPr>
          <w:rFonts w:hint="eastAsia"/>
          <w:sz w:val="21"/>
          <w:szCs w:val="21"/>
        </w:rPr>
        <w:t>GB/T 39725-2020</w:t>
      </w:r>
      <w:r>
        <w:rPr>
          <w:rFonts w:hint="eastAsia"/>
          <w:sz w:val="21"/>
          <w:szCs w:val="21"/>
          <w:lang w:val="en-US" w:eastAsia="zh-CN"/>
        </w:rPr>
        <w:t xml:space="preserve"> 信息安全技术 健康医疗数据安全指南</w:t>
      </w:r>
    </w:p>
    <w:p>
      <w:pPr>
        <w:rPr>
          <w:rFonts w:hint="eastAsia"/>
          <w:sz w:val="21"/>
          <w:szCs w:val="21"/>
        </w:rPr>
      </w:pPr>
      <w:r>
        <w:rPr>
          <w:rFonts w:hint="eastAsia"/>
          <w:sz w:val="21"/>
          <w:szCs w:val="21"/>
        </w:rPr>
        <w:t>WS 363 卫生信息数据元目录</w:t>
      </w:r>
    </w:p>
    <w:p>
      <w:pPr>
        <w:rPr>
          <w:rFonts w:hint="eastAsia"/>
          <w:sz w:val="21"/>
          <w:szCs w:val="21"/>
        </w:rPr>
      </w:pPr>
      <w:r>
        <w:rPr>
          <w:rFonts w:hint="eastAsia"/>
          <w:sz w:val="21"/>
          <w:szCs w:val="21"/>
        </w:rPr>
        <w:t>WS 364 卫生信息数据元值域代码</w:t>
      </w:r>
    </w:p>
    <w:p>
      <w:pPr>
        <w:rPr>
          <w:rFonts w:hint="eastAsia"/>
          <w:sz w:val="21"/>
          <w:szCs w:val="21"/>
        </w:rPr>
      </w:pPr>
      <w:r>
        <w:rPr>
          <w:rFonts w:hint="eastAsia"/>
          <w:sz w:val="21"/>
          <w:szCs w:val="21"/>
        </w:rPr>
        <w:t>WS/T 483 健康档案共享文档规范</w:t>
      </w:r>
    </w:p>
    <w:p>
      <w:pPr>
        <w:rPr>
          <w:rFonts w:hint="eastAsia"/>
          <w:sz w:val="21"/>
          <w:szCs w:val="21"/>
        </w:rPr>
      </w:pPr>
      <w:r>
        <w:rPr>
          <w:rFonts w:hint="eastAsia"/>
          <w:sz w:val="21"/>
          <w:szCs w:val="21"/>
        </w:rPr>
        <w:t>WST 500-2016 电子病历共享文档规范</w:t>
      </w:r>
    </w:p>
    <w:p>
      <w:pPr>
        <w:rPr>
          <w:rFonts w:hint="eastAsia"/>
          <w:sz w:val="21"/>
          <w:szCs w:val="21"/>
        </w:rPr>
      </w:pPr>
      <w:r>
        <w:rPr>
          <w:rFonts w:hint="eastAsia"/>
          <w:sz w:val="21"/>
          <w:szCs w:val="21"/>
          <w:lang w:val="en-US" w:eastAsia="zh-CN"/>
        </w:rPr>
        <w:t>中华医学会糖尿病学分会 中国</w:t>
      </w:r>
      <w:r>
        <w:rPr>
          <w:rFonts w:hint="eastAsia"/>
          <w:sz w:val="21"/>
          <w:szCs w:val="21"/>
        </w:rPr>
        <w:t>糖尿病防治指南（202</w:t>
      </w:r>
      <w:r>
        <w:rPr>
          <w:rFonts w:hint="eastAsia"/>
          <w:sz w:val="21"/>
          <w:szCs w:val="21"/>
          <w:lang w:val="en-US" w:eastAsia="zh-CN"/>
        </w:rPr>
        <w:t>4</w:t>
      </w:r>
      <w:r>
        <w:rPr>
          <w:rFonts w:hint="eastAsia"/>
          <w:sz w:val="21"/>
          <w:szCs w:val="21"/>
        </w:rPr>
        <w:t xml:space="preserve"> 年版）</w:t>
      </w:r>
    </w:p>
    <w:p>
      <w:pPr>
        <w:pStyle w:val="19"/>
        <w:bidi w:val="0"/>
      </w:pPr>
      <w:bookmarkStart w:id="18" w:name="_Toc436205037"/>
      <w:bookmarkStart w:id="19" w:name="_Toc509933851"/>
      <w:bookmarkStart w:id="20" w:name="_Toc510534530"/>
      <w:bookmarkStart w:id="21" w:name="_Toc14509"/>
      <w:r>
        <w:rPr>
          <w:rFonts w:hint="eastAsia"/>
        </w:rPr>
        <w:t>术语和定义</w:t>
      </w:r>
      <w:bookmarkEnd w:id="18"/>
      <w:bookmarkEnd w:id="19"/>
      <w:bookmarkEnd w:id="20"/>
      <w:bookmarkEnd w:id="21"/>
    </w:p>
    <w:p>
      <w:pPr>
        <w:pStyle w:val="16"/>
        <w:spacing w:line="360" w:lineRule="exact"/>
        <w:ind w:firstLine="420"/>
      </w:pPr>
      <w:bookmarkStart w:id="22" w:name="_Hlk92788667"/>
      <w:r>
        <w:rPr>
          <w:rFonts w:hint="eastAsia"/>
        </w:rPr>
        <w:t>下列术语和定义适用于本文件。</w:t>
      </w:r>
    </w:p>
    <w:bookmarkEnd w:id="22"/>
    <w:p>
      <w:pPr>
        <w:ind w:left="0" w:leftChars="0" w:firstLine="0" w:firstLineChars="0"/>
        <w:rPr>
          <w:rFonts w:hint="eastAsia"/>
          <w:sz w:val="21"/>
          <w:szCs w:val="21"/>
        </w:rPr>
      </w:pPr>
      <w:r>
        <w:rPr>
          <w:rFonts w:hint="eastAsia"/>
          <w:sz w:val="21"/>
          <w:szCs w:val="21"/>
        </w:rPr>
        <w:t>3.1</w:t>
      </w:r>
    </w:p>
    <w:p>
      <w:pPr>
        <w:rPr>
          <w:rFonts w:hint="eastAsia"/>
          <w:b/>
          <w:bCs/>
          <w:sz w:val="21"/>
          <w:szCs w:val="21"/>
        </w:rPr>
      </w:pPr>
      <w:r>
        <w:rPr>
          <w:rFonts w:hint="eastAsia"/>
          <w:b/>
          <w:bCs/>
          <w:sz w:val="21"/>
          <w:szCs w:val="21"/>
        </w:rPr>
        <w:t>糖尿病全周期数字健康管理 whole-cycle digital health management of diabetes</w:t>
      </w:r>
    </w:p>
    <w:p>
      <w:pPr>
        <w:rPr>
          <w:rFonts w:hint="eastAsia"/>
          <w:sz w:val="21"/>
          <w:szCs w:val="21"/>
        </w:rPr>
      </w:pPr>
      <w:r>
        <w:rPr>
          <w:rFonts w:hint="eastAsia"/>
          <w:sz w:val="21"/>
          <w:szCs w:val="21"/>
        </w:rPr>
        <w:t>以数字技术为支撑，覆盖糖尿病</w:t>
      </w:r>
      <w:r>
        <w:rPr>
          <w:rFonts w:hint="eastAsia"/>
          <w:sz w:val="21"/>
          <w:szCs w:val="21"/>
          <w:lang w:val="en-US" w:eastAsia="zh-CN"/>
        </w:rPr>
        <w:t xml:space="preserve">预防 - </w:t>
      </w:r>
      <w:r>
        <w:rPr>
          <w:rFonts w:hint="eastAsia"/>
          <w:sz w:val="21"/>
          <w:szCs w:val="21"/>
        </w:rPr>
        <w:t>筛查 - 诊断 - 治疗 - 管理 - 康复全流程，整合患者临床数据、行为数据、环境数据等多维度信息，通过智能分析与精准干预，实现糖尿病预防、诊疗、康复一体化管理的健康服务模式。</w:t>
      </w:r>
    </w:p>
    <w:p>
      <w:pPr>
        <w:ind w:left="0" w:leftChars="0" w:firstLine="0" w:firstLineChars="0"/>
        <w:rPr>
          <w:rFonts w:hint="eastAsia"/>
          <w:sz w:val="21"/>
          <w:szCs w:val="21"/>
        </w:rPr>
      </w:pPr>
      <w:r>
        <w:rPr>
          <w:rFonts w:hint="eastAsia"/>
          <w:sz w:val="21"/>
          <w:szCs w:val="21"/>
        </w:rPr>
        <w:t>3.2</w:t>
      </w:r>
    </w:p>
    <w:p>
      <w:pPr>
        <w:rPr>
          <w:rFonts w:hint="eastAsia"/>
          <w:b/>
          <w:bCs/>
          <w:sz w:val="21"/>
          <w:szCs w:val="21"/>
        </w:rPr>
      </w:pPr>
      <w:r>
        <w:rPr>
          <w:rFonts w:hint="eastAsia"/>
          <w:b/>
          <w:bCs/>
          <w:sz w:val="21"/>
          <w:szCs w:val="21"/>
        </w:rPr>
        <w:t>数字健康管理平台 digital health management platform</w:t>
      </w:r>
    </w:p>
    <w:p>
      <w:pPr>
        <w:rPr>
          <w:rFonts w:hint="eastAsia"/>
          <w:sz w:val="21"/>
          <w:szCs w:val="21"/>
        </w:rPr>
      </w:pPr>
      <w:r>
        <w:rPr>
          <w:rFonts w:hint="eastAsia"/>
          <w:sz w:val="21"/>
          <w:szCs w:val="21"/>
        </w:rPr>
        <w:t>支撑糖尿病全周期管理服务的软硬件集成系统，具备数据采集、智能分析、方案推送、服务跟踪、效果评价等功能，实现全周期管理服务的数字化、智能化实施。</w:t>
      </w:r>
    </w:p>
    <w:p>
      <w:pPr>
        <w:ind w:left="0" w:leftChars="0" w:firstLine="0" w:firstLineChars="0"/>
        <w:rPr>
          <w:rFonts w:hint="eastAsia" w:eastAsia="宋体"/>
          <w:sz w:val="21"/>
          <w:szCs w:val="21"/>
          <w:lang w:eastAsia="zh-CN"/>
        </w:rPr>
      </w:pPr>
      <w:r>
        <w:rPr>
          <w:rFonts w:hint="eastAsia"/>
          <w:sz w:val="21"/>
          <w:szCs w:val="21"/>
        </w:rPr>
        <w:t>3.</w:t>
      </w:r>
      <w:r>
        <w:rPr>
          <w:rFonts w:hint="eastAsia"/>
          <w:sz w:val="21"/>
          <w:szCs w:val="21"/>
          <w:lang w:val="en-US" w:eastAsia="zh-CN"/>
        </w:rPr>
        <w:t>3</w:t>
      </w:r>
    </w:p>
    <w:p>
      <w:pPr>
        <w:rPr>
          <w:rFonts w:hint="eastAsia"/>
          <w:b/>
          <w:bCs/>
          <w:sz w:val="21"/>
          <w:szCs w:val="21"/>
        </w:rPr>
      </w:pPr>
      <w:r>
        <w:rPr>
          <w:rFonts w:hint="eastAsia"/>
          <w:b/>
          <w:bCs/>
          <w:sz w:val="21"/>
          <w:szCs w:val="21"/>
        </w:rPr>
        <w:t>多模态数据 multimodal data</w:t>
      </w:r>
    </w:p>
    <w:p>
      <w:pPr>
        <w:rPr>
          <w:rFonts w:hint="eastAsia"/>
          <w:sz w:val="21"/>
          <w:szCs w:val="21"/>
        </w:rPr>
      </w:pPr>
      <w:r>
        <w:rPr>
          <w:rFonts w:hint="eastAsia"/>
          <w:sz w:val="21"/>
          <w:szCs w:val="21"/>
        </w:rPr>
        <w:t>涵盖糖尿病患者人口学信息、临床诊疗数据、实验室检查数据、行为特征数据（饮食、运动、作息）、可穿戴设备监测数据、用药记录等多种类型的数据集合。</w:t>
      </w:r>
    </w:p>
    <w:p>
      <w:pPr>
        <w:ind w:left="0" w:leftChars="0" w:firstLine="0" w:firstLineChars="0"/>
        <w:rPr>
          <w:rFonts w:hint="eastAsia" w:eastAsia="宋体"/>
          <w:sz w:val="21"/>
          <w:szCs w:val="21"/>
          <w:lang w:eastAsia="zh-CN"/>
        </w:rPr>
      </w:pPr>
      <w:r>
        <w:rPr>
          <w:rFonts w:hint="eastAsia"/>
          <w:sz w:val="21"/>
          <w:szCs w:val="21"/>
        </w:rPr>
        <w:t>3.</w:t>
      </w:r>
      <w:r>
        <w:rPr>
          <w:rFonts w:hint="eastAsia"/>
          <w:sz w:val="21"/>
          <w:szCs w:val="21"/>
          <w:lang w:val="en-US" w:eastAsia="zh-CN"/>
        </w:rPr>
        <w:t>4</w:t>
      </w:r>
    </w:p>
    <w:p>
      <w:pPr>
        <w:rPr>
          <w:rFonts w:hint="eastAsia"/>
          <w:b/>
          <w:bCs/>
          <w:sz w:val="21"/>
          <w:szCs w:val="21"/>
        </w:rPr>
      </w:pPr>
      <w:r>
        <w:rPr>
          <w:rFonts w:hint="eastAsia"/>
          <w:b/>
          <w:bCs/>
          <w:sz w:val="21"/>
          <w:szCs w:val="21"/>
        </w:rPr>
        <w:t>智能干预模型 intelligent intervention model</w:t>
      </w:r>
    </w:p>
    <w:p>
      <w:r>
        <w:rPr>
          <w:rFonts w:hint="eastAsia"/>
          <w:sz w:val="21"/>
          <w:szCs w:val="21"/>
        </w:rPr>
        <w:t>基于多模态数据和循证医学证据，运用机器学习、大数据挖掘等技术构建的模型，包括患者智能画像模型、并发症风险预测模型、治疗依从性评估模型等，为个性化管理方案制定提供支撑。</w:t>
      </w:r>
    </w:p>
    <w:p>
      <w:pPr>
        <w:pStyle w:val="19"/>
        <w:bidi w:val="0"/>
        <w:rPr>
          <w:rFonts w:hint="eastAsia"/>
        </w:rPr>
      </w:pPr>
      <w:bookmarkStart w:id="23" w:name="_Toc12532"/>
      <w:r>
        <w:rPr>
          <w:rFonts w:hint="eastAsia"/>
        </w:rPr>
        <w:t>全周期管理服务架构与流程</w:t>
      </w:r>
      <w:bookmarkEnd w:id="23"/>
    </w:p>
    <w:p>
      <w:pPr>
        <w:pStyle w:val="15"/>
        <w:bidi w:val="0"/>
        <w:rPr>
          <w:rFonts w:hint="eastAsia"/>
        </w:rPr>
      </w:pPr>
      <w:r>
        <w:rPr>
          <w:rFonts w:hint="eastAsia"/>
        </w:rPr>
        <w:t>服务架构</w:t>
      </w:r>
    </w:p>
    <w:p>
      <w:pPr>
        <w:rPr>
          <w:rFonts w:hint="eastAsia"/>
          <w:sz w:val="21"/>
          <w:szCs w:val="21"/>
        </w:rPr>
      </w:pPr>
      <w:r>
        <w:rPr>
          <w:rFonts w:hint="eastAsia"/>
          <w:sz w:val="21"/>
          <w:szCs w:val="21"/>
        </w:rPr>
        <w:t>糖尿病全周期数字健康管理服务架构为 “一平台、</w:t>
      </w:r>
      <w:r>
        <w:rPr>
          <w:rFonts w:hint="eastAsia"/>
          <w:sz w:val="21"/>
          <w:szCs w:val="21"/>
          <w:lang w:val="en-US" w:eastAsia="zh-CN"/>
        </w:rPr>
        <w:t>六</w:t>
      </w:r>
      <w:r>
        <w:rPr>
          <w:rFonts w:hint="eastAsia"/>
          <w:sz w:val="21"/>
          <w:szCs w:val="21"/>
        </w:rPr>
        <w:t>阶段、三支撑” 结构：</w:t>
      </w:r>
    </w:p>
    <w:p>
      <w:pPr>
        <w:rPr>
          <w:rFonts w:hint="eastAsia"/>
          <w:sz w:val="21"/>
          <w:szCs w:val="21"/>
        </w:rPr>
      </w:pPr>
      <w:r>
        <w:rPr>
          <w:rFonts w:hint="eastAsia"/>
          <w:sz w:val="21"/>
          <w:szCs w:val="21"/>
        </w:rPr>
        <w:t>一平台：以数字健康管理平台为核心载体，整合数据管理、智能分析、服务实施等功能；</w:t>
      </w:r>
    </w:p>
    <w:p>
      <w:pPr>
        <w:rPr>
          <w:rFonts w:hint="eastAsia"/>
          <w:sz w:val="21"/>
          <w:szCs w:val="21"/>
        </w:rPr>
      </w:pPr>
      <w:r>
        <w:rPr>
          <w:rFonts w:hint="eastAsia"/>
          <w:sz w:val="21"/>
          <w:szCs w:val="21"/>
          <w:lang w:val="en-US" w:eastAsia="zh-CN"/>
        </w:rPr>
        <w:t>六</w:t>
      </w:r>
      <w:r>
        <w:rPr>
          <w:rFonts w:hint="eastAsia"/>
          <w:sz w:val="21"/>
          <w:szCs w:val="21"/>
        </w:rPr>
        <w:t>阶段：涵盖</w:t>
      </w:r>
      <w:r>
        <w:rPr>
          <w:rFonts w:hint="eastAsia"/>
          <w:sz w:val="21"/>
          <w:szCs w:val="21"/>
          <w:lang w:val="en-US" w:eastAsia="zh-CN"/>
        </w:rPr>
        <w:t>预防、</w:t>
      </w:r>
      <w:r>
        <w:rPr>
          <w:rFonts w:hint="eastAsia"/>
          <w:sz w:val="21"/>
          <w:szCs w:val="21"/>
        </w:rPr>
        <w:t>筛查、诊断、治疗、</w:t>
      </w:r>
      <w:r>
        <w:rPr>
          <w:rFonts w:hint="eastAsia"/>
          <w:sz w:val="21"/>
          <w:szCs w:val="21"/>
          <w:lang w:val="en-US" w:eastAsia="zh-CN"/>
        </w:rPr>
        <w:t>管理</w:t>
      </w:r>
      <w:r>
        <w:rPr>
          <w:rFonts w:hint="eastAsia"/>
          <w:sz w:val="21"/>
          <w:szCs w:val="21"/>
        </w:rPr>
        <w:t>、康复</w:t>
      </w:r>
      <w:r>
        <w:rPr>
          <w:rFonts w:hint="eastAsia"/>
          <w:sz w:val="21"/>
          <w:szCs w:val="21"/>
          <w:lang w:val="en-US" w:eastAsia="zh-CN"/>
        </w:rPr>
        <w:t>六</w:t>
      </w:r>
      <w:r>
        <w:rPr>
          <w:rFonts w:hint="eastAsia"/>
          <w:sz w:val="21"/>
          <w:szCs w:val="21"/>
        </w:rPr>
        <w:t>个管理阶段；</w:t>
      </w:r>
    </w:p>
    <w:p>
      <w:pPr>
        <w:rPr>
          <w:rFonts w:hint="eastAsia"/>
          <w:sz w:val="21"/>
          <w:szCs w:val="21"/>
        </w:rPr>
      </w:pPr>
      <w:r>
        <w:rPr>
          <w:rFonts w:hint="eastAsia"/>
          <w:sz w:val="21"/>
          <w:szCs w:val="21"/>
        </w:rPr>
        <w:t>三支撑：以数据支撑体系、技术支撑体系、质量控制体系为三大支撑，保障全周期管理服务的有序开展。</w:t>
      </w:r>
    </w:p>
    <w:p>
      <w:pPr>
        <w:pStyle w:val="15"/>
        <w:bidi w:val="0"/>
        <w:rPr>
          <w:rFonts w:hint="eastAsia"/>
        </w:rPr>
      </w:pPr>
      <w:r>
        <w:rPr>
          <w:rFonts w:hint="eastAsia"/>
        </w:rPr>
        <w:t>服务流程</w:t>
      </w:r>
    </w:p>
    <w:p>
      <w:pPr>
        <w:rPr>
          <w:rFonts w:hint="eastAsia"/>
          <w:sz w:val="21"/>
          <w:szCs w:val="21"/>
        </w:rPr>
      </w:pPr>
      <w:r>
        <w:rPr>
          <w:rFonts w:hint="eastAsia"/>
          <w:sz w:val="21"/>
          <w:szCs w:val="21"/>
        </w:rPr>
        <w:t>全周期数字健康管理服务遵循 “入口准入 - 分阶段管理 - 动态评估 - 闭环优化” 的核心流程，具体如下：</w:t>
      </w:r>
    </w:p>
    <w:p>
      <w:pPr>
        <w:rPr>
          <w:rFonts w:hint="eastAsia"/>
          <w:sz w:val="21"/>
          <w:szCs w:val="21"/>
        </w:rPr>
      </w:pPr>
      <w:r>
        <w:rPr>
          <w:rFonts w:hint="eastAsia"/>
          <w:sz w:val="21"/>
          <w:szCs w:val="21"/>
        </w:rPr>
        <w:t>入口准入：通过医疗机构筛查、社区健康检测、患者自主注册等方式纳入管理对象，完成基础信息采集和初步风险评估；</w:t>
      </w:r>
    </w:p>
    <w:p>
      <w:pPr>
        <w:rPr>
          <w:rFonts w:hint="eastAsia"/>
          <w:sz w:val="21"/>
          <w:szCs w:val="21"/>
        </w:rPr>
      </w:pPr>
      <w:r>
        <w:rPr>
          <w:rFonts w:hint="eastAsia"/>
          <w:sz w:val="21"/>
          <w:szCs w:val="21"/>
        </w:rPr>
        <w:t>分阶段管理：根据患者健康状况和疾病阶段，进入对应管理阶段，提供针对性数字健康管理服务；</w:t>
      </w:r>
    </w:p>
    <w:p>
      <w:pPr>
        <w:rPr>
          <w:rFonts w:hint="eastAsia"/>
          <w:sz w:val="21"/>
          <w:szCs w:val="21"/>
        </w:rPr>
      </w:pPr>
      <w:r>
        <w:rPr>
          <w:rFonts w:hint="eastAsia"/>
          <w:sz w:val="21"/>
          <w:szCs w:val="21"/>
        </w:rPr>
        <w:t>动态评估：每个管理阶段结束后，基于多模态数据和智能模型进行效果评估，判断是否进入下一阶段或调整管理方案；</w:t>
      </w:r>
    </w:p>
    <w:p>
      <w:pPr>
        <w:rPr>
          <w:rFonts w:hint="eastAsia"/>
          <w:sz w:val="21"/>
          <w:szCs w:val="21"/>
        </w:rPr>
      </w:pPr>
      <w:r>
        <w:rPr>
          <w:rFonts w:hint="eastAsia"/>
          <w:sz w:val="21"/>
          <w:szCs w:val="21"/>
        </w:rPr>
        <w:t>闭环优化：建立全流程反馈机制，根据评估结果和患者反馈，持续优化数据采集、模型算法、服务内容，形成管理闭环。</w:t>
      </w:r>
    </w:p>
    <w:p>
      <w:pPr>
        <w:rPr>
          <w:rFonts w:hint="eastAsia"/>
          <w:sz w:val="21"/>
          <w:szCs w:val="21"/>
          <w:lang w:eastAsia="zh-CN"/>
        </w:rPr>
      </w:pPr>
      <w:r>
        <w:rPr>
          <w:rFonts w:hint="eastAsia"/>
          <w:sz w:val="21"/>
          <w:szCs w:val="21"/>
          <w:lang w:eastAsia="zh-CN"/>
        </w:rPr>
        <w:t>应急响应与转诊流程：制定分级预警响应机制（如一级预警自动发短信，二级预警</w:t>
      </w:r>
      <w:r>
        <w:rPr>
          <w:rFonts w:hint="eastAsia"/>
          <w:sz w:val="21"/>
          <w:szCs w:val="21"/>
          <w:lang w:val="en-US" w:eastAsia="zh-CN"/>
        </w:rPr>
        <w:t>护士或</w:t>
      </w:r>
      <w:r>
        <w:rPr>
          <w:rFonts w:hint="eastAsia"/>
          <w:sz w:val="21"/>
          <w:szCs w:val="21"/>
          <w:lang w:eastAsia="zh-CN"/>
        </w:rPr>
        <w:t>健康管理师电话回访，三级预警直接触发转诊至签约医院或建议急诊）。</w:t>
      </w:r>
    </w:p>
    <w:p>
      <w:pPr>
        <w:rPr>
          <w:rFonts w:hint="eastAsia"/>
          <w:sz w:val="21"/>
          <w:szCs w:val="21"/>
          <w:lang w:val="en-US" w:eastAsia="zh-CN"/>
        </w:rPr>
      </w:pPr>
      <w:r>
        <w:rPr>
          <w:rFonts w:hint="eastAsia"/>
          <w:sz w:val="21"/>
          <w:szCs w:val="21"/>
          <w:lang w:val="en-US" w:eastAsia="zh-CN"/>
        </w:rPr>
        <w:t>服务终止流程：患者主动退出、</w:t>
      </w:r>
      <w:r>
        <w:rPr>
          <w:rFonts w:hint="eastAsia" w:ascii="Times New Roman"/>
          <w:color w:val="000000"/>
          <w:lang w:val="en-US" w:eastAsia="zh-CN"/>
        </w:rPr>
        <w:t>病情完全缓解、</w:t>
      </w:r>
      <w:r>
        <w:rPr>
          <w:rFonts w:hint="eastAsia"/>
          <w:sz w:val="21"/>
          <w:szCs w:val="21"/>
          <w:lang w:val="en-US" w:eastAsia="zh-CN"/>
        </w:rPr>
        <w:t>病情恶化转住院、死亡、长期不依从且无法干预等情况可终止服务，流程为知情告知→数据归档→隐私处理→数据移交（患者本人或授权的医疗机构）。</w:t>
      </w:r>
    </w:p>
    <w:p>
      <w:pPr>
        <w:pStyle w:val="15"/>
        <w:bidi w:val="0"/>
        <w:rPr>
          <w:rFonts w:hint="eastAsia"/>
        </w:rPr>
      </w:pPr>
      <w:r>
        <w:rPr>
          <w:rFonts w:hint="eastAsia"/>
        </w:rPr>
        <w:t>服务要求</w:t>
      </w:r>
    </w:p>
    <w:p>
      <w:pPr>
        <w:ind w:left="0" w:leftChars="0" w:firstLine="0" w:firstLineChars="0"/>
        <w:rPr>
          <w:rFonts w:hint="eastAsia"/>
          <w:sz w:val="21"/>
          <w:szCs w:val="21"/>
        </w:rPr>
      </w:pPr>
      <w:r>
        <w:rPr>
          <w:rFonts w:hint="eastAsia"/>
          <w:sz w:val="21"/>
          <w:szCs w:val="21"/>
          <w:lang w:val="en-US" w:eastAsia="zh-CN"/>
        </w:rPr>
        <w:t>4</w:t>
      </w:r>
      <w:r>
        <w:rPr>
          <w:rFonts w:hint="eastAsia"/>
          <w:sz w:val="21"/>
          <w:szCs w:val="21"/>
        </w:rPr>
        <w:t>.3.1 服务提供方应具备相应的医疗服务资质或健康管理资质，建立健全管理制度、岗位职责和操作规范。</w:t>
      </w:r>
    </w:p>
    <w:p>
      <w:pPr>
        <w:ind w:left="0" w:leftChars="0" w:firstLine="0" w:firstLineChars="0"/>
        <w:rPr>
          <w:rFonts w:hint="eastAsia"/>
          <w:sz w:val="21"/>
          <w:szCs w:val="21"/>
        </w:rPr>
      </w:pPr>
      <w:r>
        <w:rPr>
          <w:rFonts w:hint="eastAsia"/>
          <w:sz w:val="21"/>
          <w:szCs w:val="21"/>
          <w:lang w:val="en-US" w:eastAsia="zh-CN"/>
        </w:rPr>
        <w:t>4</w:t>
      </w:r>
      <w:r>
        <w:rPr>
          <w:rFonts w:hint="eastAsia"/>
          <w:sz w:val="21"/>
          <w:szCs w:val="21"/>
        </w:rPr>
        <w:t>.3.2 服务应实现线上线下融合，线上依托数字健康管理平台提供便捷服务，线下结合医疗机构诊疗服务开展强化干预和随访。</w:t>
      </w:r>
    </w:p>
    <w:p>
      <w:pPr>
        <w:ind w:left="0" w:leftChars="0" w:firstLine="0" w:firstLineChars="0"/>
        <w:rPr>
          <w:rFonts w:hint="eastAsia"/>
          <w:sz w:val="21"/>
          <w:szCs w:val="21"/>
        </w:rPr>
      </w:pPr>
      <w:r>
        <w:rPr>
          <w:rFonts w:hint="eastAsia"/>
          <w:sz w:val="21"/>
          <w:szCs w:val="21"/>
          <w:lang w:val="en-US" w:eastAsia="zh-CN"/>
        </w:rPr>
        <w:t>4</w:t>
      </w:r>
      <w:r>
        <w:rPr>
          <w:rFonts w:hint="eastAsia"/>
          <w:sz w:val="21"/>
          <w:szCs w:val="21"/>
        </w:rPr>
        <w:t>.3.3 尊重患者知情同意权和自主选择权，向患者明确服务内容、数据使用方式、隐私保护措施等信息，签订知情同意书。</w:t>
      </w:r>
    </w:p>
    <w:p>
      <w:pPr>
        <w:ind w:left="0" w:leftChars="0" w:firstLine="0" w:firstLineChars="0"/>
        <w:rPr>
          <w:rFonts w:hint="eastAsia"/>
          <w:sz w:val="21"/>
          <w:szCs w:val="21"/>
        </w:rPr>
      </w:pPr>
      <w:r>
        <w:rPr>
          <w:rFonts w:hint="eastAsia"/>
          <w:sz w:val="21"/>
          <w:szCs w:val="21"/>
          <w:lang w:val="en-US" w:eastAsia="zh-CN"/>
        </w:rPr>
        <w:t>4</w:t>
      </w:r>
      <w:r>
        <w:rPr>
          <w:rFonts w:hint="eastAsia"/>
          <w:sz w:val="21"/>
          <w:szCs w:val="21"/>
        </w:rPr>
        <w:t>.3.4 建立服务持续改进机制，基于服务效果评价结果和患者反馈，动态优化管理方案和服务流程。</w:t>
      </w:r>
    </w:p>
    <w:p>
      <w:pPr>
        <w:ind w:left="0" w:leftChars="0" w:firstLine="0" w:firstLineChars="0"/>
        <w:rPr>
          <w:rFonts w:hint="eastAsia"/>
          <w:sz w:val="21"/>
          <w:szCs w:val="21"/>
          <w:lang w:val="en-US" w:eastAsia="zh-CN"/>
        </w:rPr>
      </w:pPr>
      <w:r>
        <w:rPr>
          <w:rFonts w:hint="eastAsia"/>
          <w:sz w:val="21"/>
          <w:szCs w:val="21"/>
          <w:lang w:val="en-US" w:eastAsia="zh-CN"/>
        </w:rPr>
        <w:t>4.3.5人工智能、智能算法及数字健康管理平台仅作为辅助决策工具，不得替代执业医师的临床判断、诊疗决策与手写/电子签名；所有关键诊疗行为、方案确认、风险告知均须由具备资质的医务人员完成，确保医疗安全与责任可追溯。</w:t>
      </w:r>
    </w:p>
    <w:p>
      <w:pPr>
        <w:ind w:left="0" w:leftChars="0" w:firstLine="0" w:firstLineChars="0"/>
        <w:rPr>
          <w:rFonts w:hint="eastAsia"/>
          <w:sz w:val="21"/>
          <w:szCs w:val="21"/>
          <w:lang w:val="en-US" w:eastAsia="zh-CN"/>
        </w:rPr>
      </w:pPr>
      <w:r>
        <w:rPr>
          <w:rFonts w:hint="eastAsia"/>
          <w:sz w:val="21"/>
          <w:szCs w:val="21"/>
          <w:lang w:val="en-US" w:eastAsia="zh-CN"/>
        </w:rPr>
        <w:t>4.3.6</w:t>
      </w:r>
      <w:r>
        <w:rPr>
          <w:rFonts w:hint="eastAsia"/>
          <w:sz w:val="21"/>
          <w:szCs w:val="21"/>
        </w:rPr>
        <w:t>严格遵守医疗健康相关法律法规，保障患者数据安全和隐私，规范服务流程和操作标准。</w:t>
      </w:r>
    </w:p>
    <w:p>
      <w:pPr>
        <w:pStyle w:val="19"/>
        <w:bidi w:val="0"/>
        <w:rPr>
          <w:rFonts w:hint="eastAsia"/>
        </w:rPr>
      </w:pPr>
      <w:bookmarkStart w:id="24" w:name="_Toc6895"/>
      <w:r>
        <w:rPr>
          <w:rFonts w:hint="eastAsia"/>
        </w:rPr>
        <w:t>分阶段数字健康管理服务内容</w:t>
      </w:r>
      <w:bookmarkEnd w:id="24"/>
    </w:p>
    <w:p>
      <w:pPr>
        <w:pStyle w:val="15"/>
        <w:bidi w:val="0"/>
        <w:rPr>
          <w:rFonts w:hint="eastAsia"/>
        </w:rPr>
      </w:pPr>
      <w:r>
        <w:rPr>
          <w:rFonts w:hint="eastAsia"/>
        </w:rPr>
        <w:t>预防期管理​</w:t>
      </w:r>
    </w:p>
    <w:p>
      <w:pPr>
        <w:pStyle w:val="16"/>
        <w:ind w:left="0" w:leftChars="0" w:firstLine="0" w:firstLineChars="0"/>
        <w:rPr>
          <w:rFonts w:hint="eastAsia"/>
        </w:rPr>
      </w:pPr>
      <w:r>
        <w:rPr>
          <w:rFonts w:hint="eastAsia"/>
          <w:lang w:val="en-US" w:eastAsia="zh-CN"/>
        </w:rPr>
        <w:t>5</w:t>
      </w:r>
      <w:r>
        <w:rPr>
          <w:rFonts w:hint="eastAsia"/>
        </w:rPr>
        <w:t>.1.</w:t>
      </w:r>
      <w:r>
        <w:rPr>
          <w:rFonts w:hint="eastAsia"/>
          <w:lang w:val="en-US" w:eastAsia="zh-CN"/>
        </w:rPr>
        <w:t>1</w:t>
      </w:r>
      <w:r>
        <w:rPr>
          <w:rFonts w:hint="eastAsia"/>
        </w:rPr>
        <w:t xml:space="preserve"> 服务内容​</w:t>
      </w:r>
    </w:p>
    <w:p>
      <w:pPr>
        <w:pStyle w:val="16"/>
        <w:ind w:left="0" w:leftChars="0" w:firstLine="0" w:firstLineChars="0"/>
        <w:rPr>
          <w:rFonts w:hint="eastAsia"/>
        </w:rPr>
      </w:pPr>
      <w:r>
        <w:rPr>
          <w:rFonts w:hint="eastAsia"/>
          <w:lang w:val="en-US" w:eastAsia="zh-CN"/>
        </w:rPr>
        <w:t>5</w:t>
      </w:r>
      <w:r>
        <w:rPr>
          <w:rFonts w:hint="eastAsia"/>
        </w:rPr>
        <w:t>.1.</w:t>
      </w:r>
      <w:r>
        <w:rPr>
          <w:rFonts w:hint="eastAsia"/>
          <w:lang w:val="en-US" w:eastAsia="zh-CN"/>
        </w:rPr>
        <w:t>1</w:t>
      </w:r>
      <w:r>
        <w:rPr>
          <w:rFonts w:hint="eastAsia"/>
        </w:rPr>
        <w:t>.1 科普宣教​</w:t>
      </w:r>
    </w:p>
    <w:p>
      <w:pPr>
        <w:pStyle w:val="16"/>
        <w:ind w:left="0" w:leftChars="0" w:firstLine="420" w:firstLineChars="200"/>
        <w:rPr>
          <w:rFonts w:hint="eastAsia"/>
        </w:rPr>
      </w:pPr>
      <w:r>
        <w:rPr>
          <w:rFonts w:hint="eastAsia"/>
        </w:rPr>
        <w:t>通过数字健康管理平台，采用短视频、直播、动漫、科普图文等形式，推送糖尿病防治核心知识，包括糖尿病危险因素（超重肥胖、久坐不动、高糖高脂饮食等）、早期信号、预防要点、健康生活方式等内容，针对儿童青少年、老年人、职场人群等不同群体定制科普内容，提升科普针对性和传播效果。同时搭建科普问答专区，及时解答群众关于糖尿病预防的常见疑问，纠正认知误区。​</w:t>
      </w:r>
    </w:p>
    <w:p>
      <w:pPr>
        <w:pStyle w:val="16"/>
        <w:ind w:left="0" w:leftChars="0" w:firstLine="0" w:firstLineChars="0"/>
        <w:rPr>
          <w:rFonts w:hint="eastAsia"/>
        </w:rPr>
      </w:pPr>
      <w:r>
        <w:rPr>
          <w:rFonts w:hint="eastAsia"/>
          <w:lang w:val="en-US" w:eastAsia="zh-CN"/>
        </w:rPr>
        <w:t>5</w:t>
      </w:r>
      <w:r>
        <w:rPr>
          <w:rFonts w:hint="eastAsia"/>
        </w:rPr>
        <w:t>.1.</w:t>
      </w:r>
      <w:r>
        <w:rPr>
          <w:rFonts w:hint="eastAsia"/>
          <w:lang w:val="en-US" w:eastAsia="zh-CN"/>
        </w:rPr>
        <w:t>1</w:t>
      </w:r>
      <w:r>
        <w:rPr>
          <w:rFonts w:hint="eastAsia"/>
        </w:rPr>
        <w:t>.2 健康监测引导​</w:t>
      </w:r>
    </w:p>
    <w:p>
      <w:pPr>
        <w:pStyle w:val="16"/>
        <w:ind w:left="0" w:leftChars="0" w:firstLine="420" w:firstLineChars="200"/>
        <w:rPr>
          <w:rFonts w:hint="eastAsia"/>
        </w:rPr>
      </w:pPr>
      <w:r>
        <w:rPr>
          <w:rFonts w:hint="eastAsia"/>
        </w:rPr>
        <w:t>引导</w:t>
      </w:r>
      <w:r>
        <w:rPr>
          <w:rFonts w:hint="eastAsia"/>
          <w:lang w:val="en-US" w:eastAsia="zh-CN"/>
        </w:rPr>
        <w:t>民众</w:t>
      </w:r>
      <w:r>
        <w:rPr>
          <w:rFonts w:hint="eastAsia"/>
        </w:rPr>
        <w:t>通过平台记录基础健康数据（身高、体重、血压、饮食、运动情况等），生成个人基础健康画像；针对40岁及以上人群、有糖尿病家族史等重点人群，设置定期血糖监测提醒，推荐便捷的监测工具，引导其每年至少进行1次空腹血糖检测，实现“早监测、早发现”的预防目标。​</w:t>
      </w:r>
    </w:p>
    <w:p>
      <w:pPr>
        <w:pStyle w:val="16"/>
        <w:ind w:left="0" w:leftChars="0" w:firstLine="0" w:firstLineChars="0"/>
        <w:rPr>
          <w:rFonts w:hint="eastAsia"/>
        </w:rPr>
      </w:pPr>
      <w:r>
        <w:rPr>
          <w:rFonts w:hint="eastAsia"/>
          <w:lang w:val="en-US" w:eastAsia="zh-CN"/>
        </w:rPr>
        <w:t>5</w:t>
      </w:r>
      <w:r>
        <w:rPr>
          <w:rFonts w:hint="eastAsia"/>
        </w:rPr>
        <w:t>.1.</w:t>
      </w:r>
      <w:r>
        <w:rPr>
          <w:rFonts w:hint="eastAsia"/>
          <w:lang w:val="en-US" w:eastAsia="zh-CN"/>
        </w:rPr>
        <w:t>1</w:t>
      </w:r>
      <w:r>
        <w:rPr>
          <w:rFonts w:hint="eastAsia"/>
        </w:rPr>
        <w:t>.3 健康生活方式干预​</w:t>
      </w:r>
    </w:p>
    <w:p>
      <w:pPr>
        <w:pStyle w:val="16"/>
        <w:ind w:left="0" w:leftChars="0" w:firstLine="420" w:firstLineChars="200"/>
        <w:rPr>
          <w:rFonts w:hint="eastAsia"/>
        </w:rPr>
      </w:pPr>
      <w:r>
        <w:rPr>
          <w:rFonts w:hint="eastAsia"/>
        </w:rPr>
        <w:t>通过平台推送普适性健康生活方式指导，包括合理膳食（低升糖指数饮食、全谷物摄入、控糖控油控盐等）、规律运动（每周150分钟中等强度有氧运动、分次完成且每次不少于10分钟，搭配适量抗阻训练）、戒烟限酒、规律作息（每日7-8小时优质睡眠）、心理调节等建议，帮助全民建立健康生活习惯，从源头减少糖尿病发病风险。​</w:t>
      </w:r>
    </w:p>
    <w:p>
      <w:pPr>
        <w:pStyle w:val="16"/>
        <w:ind w:left="0" w:leftChars="0" w:firstLine="0" w:firstLineChars="0"/>
        <w:rPr>
          <w:rFonts w:hint="eastAsia"/>
        </w:rPr>
      </w:pPr>
      <w:r>
        <w:rPr>
          <w:rFonts w:hint="eastAsia"/>
          <w:lang w:val="en-US" w:eastAsia="zh-CN"/>
        </w:rPr>
        <w:t>5</w:t>
      </w:r>
      <w:r>
        <w:rPr>
          <w:rFonts w:hint="eastAsia"/>
        </w:rPr>
        <w:t>.1.</w:t>
      </w:r>
      <w:r>
        <w:rPr>
          <w:rFonts w:hint="eastAsia"/>
          <w:lang w:val="en-US" w:eastAsia="zh-CN"/>
        </w:rPr>
        <w:t>1</w:t>
      </w:r>
      <w:r>
        <w:rPr>
          <w:rFonts w:hint="eastAsia"/>
        </w:rPr>
        <w:t>.4 预防人群分类衔接​</w:t>
      </w:r>
    </w:p>
    <w:p>
      <w:pPr>
        <w:pStyle w:val="16"/>
        <w:ind w:left="0" w:leftChars="0" w:firstLine="420" w:firstLineChars="200"/>
        <w:rPr>
          <w:rFonts w:hint="eastAsia"/>
        </w:rPr>
      </w:pPr>
      <w:r>
        <w:rPr>
          <w:rFonts w:hint="eastAsia"/>
        </w:rPr>
        <w:t>通过平台筛查问卷、健康数据监测等方式，识别出糖尿病高危人群，自动将其纳入下一阶段（筛查预警期）管理，建立“预防-高危筛查-精准干预”的衔接机制，确保预防工作闭环推进，提升防控效率，同时加强与基层医疗卫生机构协作，完善预防筛查长效机制。</w:t>
      </w:r>
    </w:p>
    <w:p>
      <w:pPr>
        <w:pStyle w:val="15"/>
        <w:bidi w:val="0"/>
        <w:rPr>
          <w:rFonts w:hint="eastAsia"/>
        </w:rPr>
      </w:pPr>
      <w:r>
        <w:rPr>
          <w:rFonts w:hint="eastAsia"/>
        </w:rPr>
        <w:t>筛查预警期管理</w:t>
      </w:r>
    </w:p>
    <w:p>
      <w:pPr>
        <w:ind w:left="0" w:leftChars="0" w:firstLine="0" w:firstLineChars="0"/>
        <w:rPr>
          <w:rFonts w:hint="eastAsia"/>
          <w:sz w:val="21"/>
          <w:szCs w:val="21"/>
        </w:rPr>
      </w:pPr>
      <w:r>
        <w:rPr>
          <w:rFonts w:hint="eastAsia"/>
          <w:sz w:val="21"/>
          <w:szCs w:val="21"/>
          <w:lang w:val="en-US" w:eastAsia="zh-CN"/>
        </w:rPr>
        <w:t>5</w:t>
      </w:r>
      <w:r>
        <w:rPr>
          <w:rFonts w:hint="eastAsia"/>
          <w:sz w:val="21"/>
          <w:szCs w:val="21"/>
        </w:rPr>
        <w:t>.</w:t>
      </w:r>
      <w:r>
        <w:rPr>
          <w:rFonts w:hint="eastAsia"/>
          <w:sz w:val="21"/>
          <w:szCs w:val="21"/>
          <w:lang w:val="en-US" w:eastAsia="zh-CN"/>
        </w:rPr>
        <w:t>2</w:t>
      </w:r>
      <w:r>
        <w:rPr>
          <w:rFonts w:hint="eastAsia"/>
          <w:sz w:val="21"/>
          <w:szCs w:val="21"/>
        </w:rPr>
        <w:t>.</w:t>
      </w:r>
      <w:r>
        <w:rPr>
          <w:rFonts w:hint="eastAsia"/>
          <w:sz w:val="21"/>
          <w:szCs w:val="21"/>
          <w:lang w:val="en-US" w:eastAsia="zh-CN"/>
        </w:rPr>
        <w:t>1</w:t>
      </w:r>
      <w:r>
        <w:rPr>
          <w:rFonts w:hint="eastAsia"/>
          <w:sz w:val="21"/>
          <w:szCs w:val="21"/>
        </w:rPr>
        <w:t xml:space="preserve"> 服务内容</w:t>
      </w:r>
    </w:p>
    <w:p>
      <w:pPr>
        <w:ind w:left="0" w:leftChars="0" w:firstLine="0" w:firstLineChars="0"/>
        <w:rPr>
          <w:rFonts w:hint="eastAsia"/>
          <w:sz w:val="21"/>
          <w:szCs w:val="21"/>
          <w:lang w:eastAsia="zh-CN"/>
        </w:rPr>
      </w:pPr>
      <w:r>
        <w:rPr>
          <w:rFonts w:hint="eastAsia"/>
          <w:sz w:val="21"/>
          <w:szCs w:val="21"/>
          <w:lang w:val="en-US" w:eastAsia="zh-CN"/>
        </w:rPr>
        <w:t>5</w:t>
      </w:r>
      <w:r>
        <w:rPr>
          <w:rFonts w:hint="eastAsia"/>
          <w:sz w:val="21"/>
          <w:szCs w:val="21"/>
        </w:rPr>
        <w:t>.</w:t>
      </w:r>
      <w:r>
        <w:rPr>
          <w:rFonts w:hint="eastAsia"/>
          <w:sz w:val="21"/>
          <w:szCs w:val="21"/>
          <w:lang w:val="en-US" w:eastAsia="zh-CN"/>
        </w:rPr>
        <w:t>2</w:t>
      </w:r>
      <w:r>
        <w:rPr>
          <w:rFonts w:hint="eastAsia"/>
          <w:sz w:val="21"/>
          <w:szCs w:val="21"/>
        </w:rPr>
        <w:t>.</w:t>
      </w:r>
      <w:r>
        <w:rPr>
          <w:rFonts w:hint="eastAsia"/>
          <w:sz w:val="21"/>
          <w:szCs w:val="21"/>
          <w:lang w:val="en-US" w:eastAsia="zh-CN"/>
        </w:rPr>
        <w:t>1</w:t>
      </w:r>
      <w:r>
        <w:rPr>
          <w:rFonts w:hint="eastAsia"/>
          <w:sz w:val="21"/>
          <w:szCs w:val="21"/>
        </w:rPr>
        <w:t>.1 高危人群筛查：通过数字健康管理平台发布筛查问卷，结合患者年龄、家族史、体重指数、血压、血糖等数据，识别糖尿病高危人群</w:t>
      </w:r>
      <w:r>
        <w:rPr>
          <w:rFonts w:hint="eastAsia"/>
          <w:sz w:val="21"/>
          <w:szCs w:val="21"/>
          <w:lang w:eastAsia="zh-CN"/>
        </w:rPr>
        <w:t>。</w:t>
      </w:r>
    </w:p>
    <w:p>
      <w:pPr>
        <w:ind w:left="0" w:leftChars="0" w:firstLine="0" w:firstLineChars="0"/>
        <w:rPr>
          <w:rFonts w:hint="eastAsia" w:eastAsia="宋体"/>
          <w:sz w:val="21"/>
          <w:szCs w:val="21"/>
          <w:lang w:eastAsia="zh-CN"/>
        </w:rPr>
      </w:pPr>
      <w:r>
        <w:rPr>
          <w:rFonts w:hint="eastAsia"/>
          <w:sz w:val="21"/>
          <w:szCs w:val="21"/>
          <w:lang w:val="en-US" w:eastAsia="zh-CN"/>
        </w:rPr>
        <w:t>5</w:t>
      </w:r>
      <w:r>
        <w:rPr>
          <w:rFonts w:hint="eastAsia"/>
          <w:sz w:val="21"/>
          <w:szCs w:val="21"/>
        </w:rPr>
        <w:t>.</w:t>
      </w:r>
      <w:r>
        <w:rPr>
          <w:rFonts w:hint="eastAsia"/>
          <w:sz w:val="21"/>
          <w:szCs w:val="21"/>
          <w:lang w:val="en-US" w:eastAsia="zh-CN"/>
        </w:rPr>
        <w:t>2</w:t>
      </w:r>
      <w:r>
        <w:rPr>
          <w:rFonts w:hint="eastAsia"/>
          <w:sz w:val="21"/>
          <w:szCs w:val="21"/>
        </w:rPr>
        <w:t>.</w:t>
      </w:r>
      <w:r>
        <w:rPr>
          <w:rFonts w:hint="eastAsia"/>
          <w:sz w:val="21"/>
          <w:szCs w:val="21"/>
          <w:lang w:val="en-US" w:eastAsia="zh-CN"/>
        </w:rPr>
        <w:t>1</w:t>
      </w:r>
      <w:r>
        <w:rPr>
          <w:rFonts w:hint="eastAsia"/>
          <w:sz w:val="21"/>
          <w:szCs w:val="21"/>
        </w:rPr>
        <w:t>.2 风险评估：运用高危因素风险预测模型，对筛查出的高危人群进行发病风险分级（低、中、高风险）</w:t>
      </w:r>
      <w:r>
        <w:rPr>
          <w:rFonts w:hint="eastAsia"/>
          <w:sz w:val="21"/>
          <w:szCs w:val="21"/>
          <w:lang w:eastAsia="zh-CN"/>
        </w:rPr>
        <w:t>。</w:t>
      </w:r>
    </w:p>
    <w:p>
      <w:pPr>
        <w:ind w:left="0" w:leftChars="0" w:firstLine="0" w:firstLineChars="0"/>
        <w:rPr>
          <w:rFonts w:hint="eastAsia"/>
          <w:sz w:val="21"/>
          <w:szCs w:val="21"/>
          <w:lang w:eastAsia="zh-CN"/>
        </w:rPr>
      </w:pPr>
      <w:r>
        <w:rPr>
          <w:rFonts w:hint="eastAsia"/>
          <w:sz w:val="21"/>
          <w:szCs w:val="21"/>
          <w:lang w:val="en-US" w:eastAsia="zh-CN"/>
        </w:rPr>
        <w:t>5</w:t>
      </w:r>
      <w:r>
        <w:rPr>
          <w:rFonts w:hint="eastAsia"/>
          <w:sz w:val="21"/>
          <w:szCs w:val="21"/>
        </w:rPr>
        <w:t>.</w:t>
      </w:r>
      <w:r>
        <w:rPr>
          <w:rFonts w:hint="eastAsia"/>
          <w:sz w:val="21"/>
          <w:szCs w:val="21"/>
          <w:lang w:val="en-US" w:eastAsia="zh-CN"/>
        </w:rPr>
        <w:t>2</w:t>
      </w:r>
      <w:r>
        <w:rPr>
          <w:rFonts w:hint="eastAsia"/>
          <w:sz w:val="21"/>
          <w:szCs w:val="21"/>
        </w:rPr>
        <w:t>.</w:t>
      </w:r>
      <w:r>
        <w:rPr>
          <w:rFonts w:hint="eastAsia"/>
          <w:sz w:val="21"/>
          <w:szCs w:val="21"/>
          <w:lang w:val="en-US" w:eastAsia="zh-CN"/>
        </w:rPr>
        <w:t>1</w:t>
      </w:r>
      <w:r>
        <w:rPr>
          <w:rFonts w:hint="eastAsia"/>
          <w:sz w:val="21"/>
          <w:szCs w:val="21"/>
        </w:rPr>
        <w:t>.3 预防干预：针对不同风险等级人群推送个性化预防建议，包括健康饮食指导、运动方案、作息调整、定期监测提醒等</w:t>
      </w:r>
      <w:r>
        <w:rPr>
          <w:rFonts w:hint="eastAsia"/>
          <w:sz w:val="21"/>
          <w:szCs w:val="21"/>
          <w:lang w:eastAsia="zh-CN"/>
        </w:rPr>
        <w:t>。</w:t>
      </w:r>
    </w:p>
    <w:p>
      <w:pPr>
        <w:ind w:left="0" w:leftChars="0" w:firstLine="0" w:firstLineChars="0"/>
        <w:rPr>
          <w:rFonts w:hint="eastAsia"/>
          <w:sz w:val="21"/>
          <w:szCs w:val="21"/>
        </w:rPr>
      </w:pPr>
      <w:r>
        <w:rPr>
          <w:rFonts w:hint="eastAsia"/>
          <w:sz w:val="21"/>
          <w:szCs w:val="21"/>
          <w:lang w:val="en-US" w:eastAsia="zh-CN"/>
        </w:rPr>
        <w:t>5</w:t>
      </w:r>
      <w:r>
        <w:rPr>
          <w:rFonts w:hint="eastAsia"/>
          <w:sz w:val="21"/>
          <w:szCs w:val="21"/>
        </w:rPr>
        <w:t>.</w:t>
      </w:r>
      <w:r>
        <w:rPr>
          <w:rFonts w:hint="eastAsia"/>
          <w:sz w:val="21"/>
          <w:szCs w:val="21"/>
          <w:lang w:val="en-US" w:eastAsia="zh-CN"/>
        </w:rPr>
        <w:t>2</w:t>
      </w:r>
      <w:r>
        <w:rPr>
          <w:rFonts w:hint="eastAsia"/>
          <w:sz w:val="21"/>
          <w:szCs w:val="21"/>
        </w:rPr>
        <w:t>.</w:t>
      </w:r>
      <w:r>
        <w:rPr>
          <w:rFonts w:hint="eastAsia"/>
          <w:sz w:val="21"/>
          <w:szCs w:val="21"/>
          <w:lang w:val="en-US" w:eastAsia="zh-CN"/>
        </w:rPr>
        <w:t>1</w:t>
      </w:r>
      <w:r>
        <w:rPr>
          <w:rFonts w:hint="eastAsia"/>
          <w:sz w:val="21"/>
          <w:szCs w:val="21"/>
        </w:rPr>
        <w:t>.4 监测随访：为中高风险人群提供血糖监测指导，推荐合适的监测工具，设置定期监测提醒，每 3-6 个月进行一次风险复评。</w:t>
      </w:r>
    </w:p>
    <w:p>
      <w:pPr>
        <w:pStyle w:val="15"/>
        <w:bidi w:val="0"/>
        <w:rPr>
          <w:rFonts w:hint="eastAsia"/>
        </w:rPr>
      </w:pPr>
      <w:r>
        <w:rPr>
          <w:rFonts w:hint="eastAsia"/>
        </w:rPr>
        <w:t>诊断评估期管理</w:t>
      </w:r>
    </w:p>
    <w:p>
      <w:pPr>
        <w:ind w:left="0" w:leftChars="0" w:firstLine="0" w:firstLineChars="0"/>
        <w:rPr>
          <w:rFonts w:hint="eastAsia"/>
          <w:sz w:val="21"/>
          <w:szCs w:val="21"/>
        </w:rPr>
      </w:pPr>
      <w:r>
        <w:rPr>
          <w:rFonts w:hint="eastAsia"/>
          <w:sz w:val="21"/>
          <w:szCs w:val="21"/>
          <w:lang w:val="en-US" w:eastAsia="zh-CN"/>
        </w:rPr>
        <w:t>5</w:t>
      </w:r>
      <w:r>
        <w:rPr>
          <w:rFonts w:hint="eastAsia"/>
          <w:sz w:val="21"/>
          <w:szCs w:val="21"/>
        </w:rPr>
        <w:t>.</w:t>
      </w:r>
      <w:r>
        <w:rPr>
          <w:rFonts w:hint="eastAsia"/>
          <w:sz w:val="21"/>
          <w:szCs w:val="21"/>
          <w:lang w:val="en-US" w:eastAsia="zh-CN"/>
        </w:rPr>
        <w:t>3</w:t>
      </w:r>
      <w:r>
        <w:rPr>
          <w:rFonts w:hint="eastAsia"/>
          <w:sz w:val="21"/>
          <w:szCs w:val="21"/>
        </w:rPr>
        <w:t>.</w:t>
      </w:r>
      <w:r>
        <w:rPr>
          <w:rFonts w:hint="eastAsia"/>
          <w:sz w:val="21"/>
          <w:szCs w:val="21"/>
          <w:lang w:val="en-US" w:eastAsia="zh-CN"/>
        </w:rPr>
        <w:t>1</w:t>
      </w:r>
      <w:r>
        <w:rPr>
          <w:rFonts w:hint="eastAsia"/>
          <w:sz w:val="21"/>
          <w:szCs w:val="21"/>
        </w:rPr>
        <w:t xml:space="preserve"> 服务内容</w:t>
      </w:r>
    </w:p>
    <w:p>
      <w:pPr>
        <w:ind w:left="0" w:leftChars="0" w:firstLine="0" w:firstLineChars="0"/>
        <w:rPr>
          <w:rFonts w:hint="eastAsia" w:eastAsia="宋体"/>
          <w:sz w:val="21"/>
          <w:szCs w:val="21"/>
          <w:lang w:eastAsia="zh-CN"/>
        </w:rPr>
      </w:pPr>
      <w:r>
        <w:rPr>
          <w:rFonts w:hint="eastAsia"/>
          <w:sz w:val="21"/>
          <w:szCs w:val="21"/>
          <w:lang w:val="en-US" w:eastAsia="zh-CN"/>
        </w:rPr>
        <w:t>5</w:t>
      </w:r>
      <w:r>
        <w:rPr>
          <w:rFonts w:hint="eastAsia"/>
          <w:sz w:val="21"/>
          <w:szCs w:val="21"/>
        </w:rPr>
        <w:t>.</w:t>
      </w:r>
      <w:r>
        <w:rPr>
          <w:rFonts w:hint="eastAsia"/>
          <w:sz w:val="21"/>
          <w:szCs w:val="21"/>
          <w:lang w:val="en-US" w:eastAsia="zh-CN"/>
        </w:rPr>
        <w:t>3</w:t>
      </w:r>
      <w:r>
        <w:rPr>
          <w:rFonts w:hint="eastAsia"/>
          <w:sz w:val="21"/>
          <w:szCs w:val="21"/>
        </w:rPr>
        <w:t>.</w:t>
      </w:r>
      <w:r>
        <w:rPr>
          <w:rFonts w:hint="eastAsia"/>
          <w:sz w:val="21"/>
          <w:szCs w:val="21"/>
          <w:lang w:val="en-US" w:eastAsia="zh-CN"/>
        </w:rPr>
        <w:t>1</w:t>
      </w:r>
      <w:r>
        <w:rPr>
          <w:rFonts w:hint="eastAsia"/>
          <w:sz w:val="21"/>
          <w:szCs w:val="21"/>
        </w:rPr>
        <w:t>.1 数据采集与整合：通过平台采集患者人口学信息、既往病史、家族史、临床症状、实验室检查数据（血糖、糖化血红蛋白、血脂、肝肾功能等）、影像学检查数据等多模态数据</w:t>
      </w:r>
      <w:r>
        <w:rPr>
          <w:rFonts w:hint="eastAsia"/>
          <w:sz w:val="21"/>
          <w:szCs w:val="21"/>
          <w:lang w:eastAsia="zh-CN"/>
        </w:rPr>
        <w:t>。</w:t>
      </w:r>
    </w:p>
    <w:p>
      <w:pPr>
        <w:ind w:left="0" w:leftChars="0" w:firstLine="0" w:firstLineChars="0"/>
        <w:rPr>
          <w:rFonts w:hint="eastAsia"/>
          <w:sz w:val="21"/>
          <w:szCs w:val="21"/>
          <w:lang w:eastAsia="zh-CN"/>
        </w:rPr>
      </w:pPr>
      <w:r>
        <w:rPr>
          <w:rFonts w:hint="eastAsia"/>
          <w:sz w:val="21"/>
          <w:szCs w:val="21"/>
          <w:lang w:val="en-US" w:eastAsia="zh-CN"/>
        </w:rPr>
        <w:t>5</w:t>
      </w:r>
      <w:r>
        <w:rPr>
          <w:rFonts w:hint="eastAsia"/>
          <w:sz w:val="21"/>
          <w:szCs w:val="21"/>
        </w:rPr>
        <w:t>.</w:t>
      </w:r>
      <w:r>
        <w:rPr>
          <w:rFonts w:hint="eastAsia"/>
          <w:sz w:val="21"/>
          <w:szCs w:val="21"/>
          <w:lang w:val="en-US" w:eastAsia="zh-CN"/>
        </w:rPr>
        <w:t>3</w:t>
      </w:r>
      <w:r>
        <w:rPr>
          <w:rFonts w:hint="eastAsia"/>
          <w:sz w:val="21"/>
          <w:szCs w:val="21"/>
        </w:rPr>
        <w:t>.</w:t>
      </w:r>
      <w:r>
        <w:rPr>
          <w:rFonts w:hint="eastAsia"/>
          <w:sz w:val="21"/>
          <w:szCs w:val="21"/>
          <w:lang w:val="en-US" w:eastAsia="zh-CN"/>
        </w:rPr>
        <w:t>1</w:t>
      </w:r>
      <w:r>
        <w:rPr>
          <w:rFonts w:hint="eastAsia"/>
          <w:sz w:val="21"/>
          <w:szCs w:val="21"/>
        </w:rPr>
        <w:t>.2 智能评估：基于多模态数据构建患者初始画像，运用并发症风险预测模型评估患者视网膜病变、肾病、神经病变等并发症发生风险</w:t>
      </w:r>
      <w:r>
        <w:rPr>
          <w:rFonts w:hint="eastAsia"/>
          <w:sz w:val="21"/>
          <w:szCs w:val="21"/>
          <w:lang w:eastAsia="zh-CN"/>
        </w:rPr>
        <w:t>。</w:t>
      </w:r>
    </w:p>
    <w:p>
      <w:pPr>
        <w:ind w:left="0" w:leftChars="0" w:firstLine="0" w:firstLineChars="0"/>
        <w:rPr>
          <w:rFonts w:hint="eastAsia"/>
          <w:sz w:val="21"/>
          <w:szCs w:val="21"/>
          <w:lang w:eastAsia="zh-CN"/>
        </w:rPr>
      </w:pPr>
      <w:r>
        <w:rPr>
          <w:rFonts w:hint="eastAsia"/>
          <w:sz w:val="21"/>
          <w:szCs w:val="21"/>
          <w:lang w:val="en-US" w:eastAsia="zh-CN"/>
        </w:rPr>
        <w:t>5</w:t>
      </w:r>
      <w:r>
        <w:rPr>
          <w:rFonts w:hint="eastAsia"/>
          <w:sz w:val="21"/>
          <w:szCs w:val="21"/>
        </w:rPr>
        <w:t>.</w:t>
      </w:r>
      <w:r>
        <w:rPr>
          <w:rFonts w:hint="eastAsia"/>
          <w:sz w:val="21"/>
          <w:szCs w:val="21"/>
          <w:lang w:val="en-US" w:eastAsia="zh-CN"/>
        </w:rPr>
        <w:t>3</w:t>
      </w:r>
      <w:r>
        <w:rPr>
          <w:rFonts w:hint="eastAsia"/>
          <w:sz w:val="21"/>
          <w:szCs w:val="21"/>
        </w:rPr>
        <w:t>.</w:t>
      </w:r>
      <w:r>
        <w:rPr>
          <w:rFonts w:hint="eastAsia"/>
          <w:sz w:val="21"/>
          <w:szCs w:val="21"/>
          <w:lang w:val="en-US" w:eastAsia="zh-CN"/>
        </w:rPr>
        <w:t>1</w:t>
      </w:r>
      <w:r>
        <w:rPr>
          <w:rFonts w:hint="eastAsia"/>
          <w:sz w:val="21"/>
          <w:szCs w:val="21"/>
        </w:rPr>
        <w:t>.3 诊疗协同：实现数字健康管理平台与医疗机构诊疗系统数据对接，为临床医生提供完整数据视图，辅助诊断分型和治疗方案制定</w:t>
      </w:r>
      <w:r>
        <w:rPr>
          <w:rFonts w:hint="eastAsia"/>
          <w:sz w:val="21"/>
          <w:szCs w:val="21"/>
          <w:lang w:eastAsia="zh-CN"/>
        </w:rPr>
        <w:t>。</w:t>
      </w:r>
    </w:p>
    <w:p>
      <w:pPr>
        <w:ind w:left="0" w:leftChars="0" w:firstLine="0" w:firstLineChars="0"/>
        <w:rPr>
          <w:rFonts w:hint="eastAsia"/>
          <w:sz w:val="21"/>
          <w:szCs w:val="21"/>
        </w:rPr>
      </w:pPr>
      <w:r>
        <w:rPr>
          <w:rFonts w:hint="eastAsia"/>
          <w:sz w:val="21"/>
          <w:szCs w:val="21"/>
          <w:lang w:val="en-US" w:eastAsia="zh-CN"/>
        </w:rPr>
        <w:t>5</w:t>
      </w:r>
      <w:r>
        <w:rPr>
          <w:rFonts w:hint="eastAsia"/>
          <w:sz w:val="21"/>
          <w:szCs w:val="21"/>
        </w:rPr>
        <w:t>.</w:t>
      </w:r>
      <w:r>
        <w:rPr>
          <w:rFonts w:hint="eastAsia"/>
          <w:sz w:val="21"/>
          <w:szCs w:val="21"/>
          <w:lang w:val="en-US" w:eastAsia="zh-CN"/>
        </w:rPr>
        <w:t>3</w:t>
      </w:r>
      <w:r>
        <w:rPr>
          <w:rFonts w:hint="eastAsia"/>
          <w:sz w:val="21"/>
          <w:szCs w:val="21"/>
        </w:rPr>
        <w:t>.</w:t>
      </w:r>
      <w:r>
        <w:rPr>
          <w:rFonts w:hint="eastAsia"/>
          <w:sz w:val="21"/>
          <w:szCs w:val="21"/>
          <w:lang w:val="en-US" w:eastAsia="zh-CN"/>
        </w:rPr>
        <w:t>1</w:t>
      </w:r>
      <w:r>
        <w:rPr>
          <w:rFonts w:hint="eastAsia"/>
          <w:sz w:val="21"/>
          <w:szCs w:val="21"/>
        </w:rPr>
        <w:t>.4 患者教育：向患者推送糖尿病疾病常识、诊断流程、治疗原则等健康知识，提升患者疾病认知水平和治疗配合度。</w:t>
      </w:r>
    </w:p>
    <w:p>
      <w:pPr>
        <w:pStyle w:val="15"/>
        <w:bidi w:val="0"/>
        <w:rPr>
          <w:rFonts w:hint="eastAsia"/>
        </w:rPr>
      </w:pPr>
      <w:r>
        <w:rPr>
          <w:rFonts w:hint="eastAsia"/>
        </w:rPr>
        <w:t>治疗干预期管理</w:t>
      </w:r>
    </w:p>
    <w:p>
      <w:pPr>
        <w:ind w:left="0" w:leftChars="0" w:firstLine="0" w:firstLineChars="0"/>
        <w:rPr>
          <w:rFonts w:hint="eastAsia"/>
          <w:sz w:val="21"/>
          <w:szCs w:val="21"/>
        </w:rPr>
      </w:pPr>
      <w:r>
        <w:rPr>
          <w:rFonts w:hint="eastAsia"/>
          <w:sz w:val="21"/>
          <w:szCs w:val="21"/>
          <w:lang w:val="en-US" w:eastAsia="zh-CN"/>
        </w:rPr>
        <w:t>5</w:t>
      </w:r>
      <w:r>
        <w:rPr>
          <w:rFonts w:hint="eastAsia"/>
          <w:sz w:val="21"/>
          <w:szCs w:val="21"/>
        </w:rPr>
        <w:t>.</w:t>
      </w:r>
      <w:r>
        <w:rPr>
          <w:rFonts w:hint="eastAsia"/>
          <w:sz w:val="21"/>
          <w:szCs w:val="21"/>
          <w:lang w:val="en-US" w:eastAsia="zh-CN"/>
        </w:rPr>
        <w:t>4</w:t>
      </w:r>
      <w:r>
        <w:rPr>
          <w:rFonts w:hint="eastAsia"/>
          <w:sz w:val="21"/>
          <w:szCs w:val="21"/>
        </w:rPr>
        <w:t>.</w:t>
      </w:r>
      <w:r>
        <w:rPr>
          <w:rFonts w:hint="eastAsia"/>
          <w:sz w:val="21"/>
          <w:szCs w:val="21"/>
          <w:lang w:val="en-US" w:eastAsia="zh-CN"/>
        </w:rPr>
        <w:t>1</w:t>
      </w:r>
      <w:r>
        <w:rPr>
          <w:rFonts w:hint="eastAsia"/>
          <w:sz w:val="21"/>
          <w:szCs w:val="21"/>
        </w:rPr>
        <w:t xml:space="preserve"> 服务内容</w:t>
      </w:r>
    </w:p>
    <w:p>
      <w:pPr>
        <w:ind w:left="0" w:leftChars="0" w:firstLine="0" w:firstLineChars="0"/>
        <w:rPr>
          <w:rFonts w:hint="eastAsia"/>
          <w:sz w:val="21"/>
          <w:szCs w:val="21"/>
          <w:lang w:eastAsia="zh-CN"/>
        </w:rPr>
      </w:pPr>
      <w:r>
        <w:rPr>
          <w:rFonts w:hint="eastAsia"/>
          <w:sz w:val="21"/>
          <w:szCs w:val="21"/>
          <w:lang w:val="en-US" w:eastAsia="zh-CN"/>
        </w:rPr>
        <w:t>5</w:t>
      </w:r>
      <w:r>
        <w:rPr>
          <w:rFonts w:hint="eastAsia"/>
          <w:sz w:val="21"/>
          <w:szCs w:val="21"/>
        </w:rPr>
        <w:t>.</w:t>
      </w:r>
      <w:r>
        <w:rPr>
          <w:rFonts w:hint="eastAsia"/>
          <w:sz w:val="21"/>
          <w:szCs w:val="21"/>
          <w:lang w:val="en-US" w:eastAsia="zh-CN"/>
        </w:rPr>
        <w:t>4</w:t>
      </w:r>
      <w:r>
        <w:rPr>
          <w:rFonts w:hint="eastAsia"/>
          <w:sz w:val="21"/>
          <w:szCs w:val="21"/>
        </w:rPr>
        <w:t>.</w:t>
      </w:r>
      <w:r>
        <w:rPr>
          <w:rFonts w:hint="eastAsia"/>
          <w:sz w:val="21"/>
          <w:szCs w:val="21"/>
          <w:lang w:val="en-US" w:eastAsia="zh-CN"/>
        </w:rPr>
        <w:t>1</w:t>
      </w:r>
      <w:r>
        <w:rPr>
          <w:rFonts w:hint="eastAsia"/>
          <w:sz w:val="21"/>
          <w:szCs w:val="21"/>
        </w:rPr>
        <w:t>.1 个性化干预方案制定：基于患者智能画像和临床治疗方案，</w:t>
      </w:r>
      <w:r>
        <w:rPr>
          <w:rFonts w:hint="eastAsia"/>
          <w:sz w:val="21"/>
          <w:szCs w:val="21"/>
          <w:highlight w:val="none"/>
        </w:rPr>
        <w:t>制定数字化干预计划，</w:t>
      </w:r>
      <w:r>
        <w:rPr>
          <w:rFonts w:hint="eastAsia"/>
          <w:sz w:val="21"/>
          <w:szCs w:val="21"/>
        </w:rPr>
        <w:t>包括用药提醒、血糖监测方案、饮食治疗方案、运动治疗方案等</w:t>
      </w:r>
      <w:r>
        <w:rPr>
          <w:rFonts w:hint="eastAsia"/>
          <w:sz w:val="21"/>
          <w:szCs w:val="21"/>
          <w:lang w:eastAsia="zh-CN"/>
        </w:rPr>
        <w:t>。</w:t>
      </w:r>
    </w:p>
    <w:p>
      <w:pPr>
        <w:ind w:left="0" w:leftChars="0" w:firstLine="0" w:firstLineChars="0"/>
        <w:rPr>
          <w:rFonts w:hint="eastAsia"/>
          <w:sz w:val="21"/>
          <w:szCs w:val="21"/>
        </w:rPr>
      </w:pPr>
      <w:r>
        <w:rPr>
          <w:rFonts w:hint="eastAsia"/>
          <w:sz w:val="21"/>
          <w:szCs w:val="21"/>
          <w:lang w:val="en-US" w:eastAsia="zh-CN"/>
        </w:rPr>
        <w:t>5</w:t>
      </w:r>
      <w:r>
        <w:rPr>
          <w:rFonts w:hint="eastAsia"/>
          <w:sz w:val="21"/>
          <w:szCs w:val="21"/>
        </w:rPr>
        <w:t>.</w:t>
      </w:r>
      <w:r>
        <w:rPr>
          <w:rFonts w:hint="eastAsia"/>
          <w:sz w:val="21"/>
          <w:szCs w:val="21"/>
          <w:lang w:val="en-US" w:eastAsia="zh-CN"/>
        </w:rPr>
        <w:t>4</w:t>
      </w:r>
      <w:r>
        <w:rPr>
          <w:rFonts w:hint="eastAsia"/>
          <w:sz w:val="21"/>
          <w:szCs w:val="21"/>
        </w:rPr>
        <w:t>.</w:t>
      </w:r>
      <w:r>
        <w:rPr>
          <w:rFonts w:hint="eastAsia"/>
          <w:sz w:val="21"/>
          <w:szCs w:val="21"/>
          <w:lang w:val="en-US" w:eastAsia="zh-CN"/>
        </w:rPr>
        <w:t>1</w:t>
      </w:r>
      <w:r>
        <w:rPr>
          <w:rFonts w:hint="eastAsia"/>
          <w:sz w:val="21"/>
          <w:szCs w:val="21"/>
        </w:rPr>
        <w:t>.2 智能干预实施：</w:t>
      </w:r>
    </w:p>
    <w:p>
      <w:pPr>
        <w:rPr>
          <w:rFonts w:hint="eastAsia" w:eastAsia="宋体"/>
          <w:sz w:val="21"/>
          <w:szCs w:val="21"/>
          <w:lang w:eastAsia="zh-CN"/>
        </w:rPr>
      </w:pPr>
      <w:r>
        <w:rPr>
          <w:rFonts w:hint="eastAsia"/>
          <w:sz w:val="21"/>
          <w:szCs w:val="21"/>
        </w:rPr>
        <w:t>用药管理：通过平台设置用药提醒，记录用药情况，对漏服、错服行为进行预警和干预</w:t>
      </w:r>
      <w:r>
        <w:rPr>
          <w:rFonts w:hint="eastAsia"/>
          <w:sz w:val="21"/>
          <w:szCs w:val="21"/>
          <w:lang w:eastAsia="zh-CN"/>
        </w:rPr>
        <w:t>。</w:t>
      </w:r>
    </w:p>
    <w:p>
      <w:pPr>
        <w:rPr>
          <w:rFonts w:hint="eastAsia" w:eastAsia="宋体"/>
          <w:sz w:val="21"/>
          <w:szCs w:val="21"/>
          <w:lang w:eastAsia="zh-CN"/>
        </w:rPr>
      </w:pPr>
      <w:r>
        <w:rPr>
          <w:rFonts w:hint="eastAsia"/>
          <w:sz w:val="21"/>
          <w:szCs w:val="21"/>
        </w:rPr>
        <w:t>血糖监测：推荐合适的智能血糖仪或可穿戴血糖监测设备，制定个性化监测计划（空腹、餐后 2 小时、随机血糖等），数据自动上传平台并进行实时分析</w:t>
      </w:r>
      <w:r>
        <w:rPr>
          <w:rFonts w:hint="eastAsia"/>
          <w:sz w:val="21"/>
          <w:szCs w:val="21"/>
          <w:lang w:eastAsia="zh-CN"/>
        </w:rPr>
        <w:t>。</w:t>
      </w:r>
    </w:p>
    <w:p>
      <w:pPr>
        <w:rPr>
          <w:rFonts w:hint="eastAsia" w:eastAsia="宋体"/>
          <w:sz w:val="21"/>
          <w:szCs w:val="21"/>
          <w:lang w:eastAsia="zh-CN"/>
        </w:rPr>
      </w:pPr>
      <w:r>
        <w:rPr>
          <w:rFonts w:hint="eastAsia"/>
          <w:sz w:val="21"/>
          <w:szCs w:val="21"/>
        </w:rPr>
        <w:t>饮食干预：根据患者体重、血糖水平、饮食偏好，推送个性化食谱和热量控制建议，支持饮食记录和营养分析</w:t>
      </w:r>
      <w:r>
        <w:rPr>
          <w:rFonts w:hint="eastAsia"/>
          <w:sz w:val="21"/>
          <w:szCs w:val="21"/>
          <w:lang w:eastAsia="zh-CN"/>
        </w:rPr>
        <w:t>。</w:t>
      </w:r>
    </w:p>
    <w:p>
      <w:pPr>
        <w:rPr>
          <w:rFonts w:hint="eastAsia"/>
          <w:sz w:val="21"/>
          <w:szCs w:val="21"/>
          <w:lang w:eastAsia="zh-CN"/>
        </w:rPr>
      </w:pPr>
      <w:r>
        <w:rPr>
          <w:rFonts w:hint="eastAsia"/>
          <w:sz w:val="21"/>
          <w:szCs w:val="21"/>
        </w:rPr>
        <w:t>运动干预：结合患者身体状况和运动能力，制定有氧运动为主、力量训练为辅的运动方案，明确运动类型、时长、频率和强度，通过可穿戴设备监测运动数据并反馈</w:t>
      </w:r>
      <w:r>
        <w:rPr>
          <w:rFonts w:hint="eastAsia"/>
          <w:sz w:val="21"/>
          <w:szCs w:val="21"/>
          <w:lang w:eastAsia="zh-CN"/>
        </w:rPr>
        <w:t>。</w:t>
      </w:r>
    </w:p>
    <w:p>
      <w:pPr>
        <w:ind w:left="0" w:leftChars="0" w:firstLine="0" w:firstLineChars="0"/>
        <w:rPr>
          <w:rFonts w:hint="eastAsia"/>
          <w:sz w:val="21"/>
          <w:szCs w:val="21"/>
        </w:rPr>
      </w:pPr>
      <w:r>
        <w:rPr>
          <w:rFonts w:hint="eastAsia"/>
          <w:sz w:val="21"/>
          <w:szCs w:val="21"/>
          <w:lang w:val="en-US" w:eastAsia="zh-CN"/>
        </w:rPr>
        <w:t>5</w:t>
      </w:r>
      <w:r>
        <w:rPr>
          <w:rFonts w:hint="eastAsia"/>
          <w:sz w:val="21"/>
          <w:szCs w:val="21"/>
        </w:rPr>
        <w:t>.</w:t>
      </w:r>
      <w:r>
        <w:rPr>
          <w:rFonts w:hint="eastAsia"/>
          <w:sz w:val="21"/>
          <w:szCs w:val="21"/>
          <w:lang w:val="en-US" w:eastAsia="zh-CN"/>
        </w:rPr>
        <w:t>4</w:t>
      </w:r>
      <w:r>
        <w:rPr>
          <w:rFonts w:hint="eastAsia"/>
          <w:sz w:val="21"/>
          <w:szCs w:val="21"/>
        </w:rPr>
        <w:t>.</w:t>
      </w:r>
      <w:r>
        <w:rPr>
          <w:rFonts w:hint="eastAsia"/>
          <w:sz w:val="21"/>
          <w:szCs w:val="21"/>
          <w:lang w:val="en-US" w:eastAsia="zh-CN"/>
        </w:rPr>
        <w:t>1</w:t>
      </w:r>
      <w:r>
        <w:rPr>
          <w:rFonts w:hint="eastAsia"/>
          <w:sz w:val="21"/>
          <w:szCs w:val="21"/>
        </w:rPr>
        <w:t>.3 实时预警与干预：平台对血糖异常、用药不依从等情况进行实时预警，医务人员及时介入指导，必要时协调线下诊疗服务</w:t>
      </w:r>
      <w:r>
        <w:rPr>
          <w:rFonts w:hint="eastAsia"/>
          <w:sz w:val="21"/>
          <w:szCs w:val="21"/>
          <w:lang w:eastAsia="zh-CN"/>
        </w:rPr>
        <w:t>（所有涉及药物调整的建议，必须基于合法的互联网医院诊疗流程或线下处方，严禁在健康管理服务中直接开具处方）</w:t>
      </w:r>
      <w:r>
        <w:rPr>
          <w:rFonts w:hint="eastAsia"/>
          <w:sz w:val="21"/>
          <w:szCs w:val="21"/>
        </w:rPr>
        <w:t>。</w:t>
      </w:r>
    </w:p>
    <w:p>
      <w:pPr>
        <w:pStyle w:val="15"/>
        <w:bidi w:val="0"/>
        <w:rPr>
          <w:rFonts w:hint="eastAsia"/>
        </w:rPr>
      </w:pPr>
      <w:r>
        <w:rPr>
          <w:rFonts w:hint="eastAsia"/>
        </w:rPr>
        <w:t>随访管理期管理</w:t>
      </w:r>
    </w:p>
    <w:p>
      <w:pPr>
        <w:ind w:left="0" w:leftChars="0" w:firstLine="0" w:firstLineChars="0"/>
        <w:rPr>
          <w:rFonts w:hint="eastAsia"/>
          <w:sz w:val="21"/>
          <w:szCs w:val="21"/>
        </w:rPr>
      </w:pPr>
      <w:r>
        <w:rPr>
          <w:rFonts w:hint="eastAsia"/>
          <w:sz w:val="21"/>
          <w:szCs w:val="21"/>
          <w:lang w:val="en-US" w:eastAsia="zh-CN"/>
        </w:rPr>
        <w:t>5</w:t>
      </w:r>
      <w:r>
        <w:rPr>
          <w:rFonts w:hint="eastAsia"/>
          <w:sz w:val="21"/>
          <w:szCs w:val="21"/>
        </w:rPr>
        <w:t>.</w:t>
      </w:r>
      <w:r>
        <w:rPr>
          <w:rFonts w:hint="eastAsia"/>
          <w:sz w:val="21"/>
          <w:szCs w:val="21"/>
          <w:lang w:val="en-US" w:eastAsia="zh-CN"/>
        </w:rPr>
        <w:t>5</w:t>
      </w:r>
      <w:r>
        <w:rPr>
          <w:rFonts w:hint="eastAsia"/>
          <w:sz w:val="21"/>
          <w:szCs w:val="21"/>
        </w:rPr>
        <w:t>.</w:t>
      </w:r>
      <w:r>
        <w:rPr>
          <w:rFonts w:hint="eastAsia"/>
          <w:sz w:val="21"/>
          <w:szCs w:val="21"/>
          <w:lang w:val="en-US" w:eastAsia="zh-CN"/>
        </w:rPr>
        <w:t>1</w:t>
      </w:r>
      <w:r>
        <w:rPr>
          <w:rFonts w:hint="eastAsia"/>
          <w:sz w:val="21"/>
          <w:szCs w:val="21"/>
        </w:rPr>
        <w:t xml:space="preserve"> 服务内容</w:t>
      </w:r>
    </w:p>
    <w:p>
      <w:pPr>
        <w:ind w:left="0" w:leftChars="0" w:firstLine="0" w:firstLineChars="0"/>
        <w:rPr>
          <w:rFonts w:hint="eastAsia"/>
          <w:sz w:val="21"/>
          <w:szCs w:val="21"/>
          <w:lang w:eastAsia="zh-CN"/>
        </w:rPr>
      </w:pPr>
      <w:r>
        <w:rPr>
          <w:rFonts w:hint="eastAsia"/>
          <w:sz w:val="21"/>
          <w:szCs w:val="21"/>
          <w:lang w:val="en-US" w:eastAsia="zh-CN"/>
        </w:rPr>
        <w:t>5</w:t>
      </w:r>
      <w:r>
        <w:rPr>
          <w:rFonts w:hint="eastAsia"/>
          <w:sz w:val="21"/>
          <w:szCs w:val="21"/>
        </w:rPr>
        <w:t>.</w:t>
      </w:r>
      <w:r>
        <w:rPr>
          <w:rFonts w:hint="eastAsia"/>
          <w:sz w:val="21"/>
          <w:szCs w:val="21"/>
          <w:lang w:val="en-US" w:eastAsia="zh-CN"/>
        </w:rPr>
        <w:t>5</w:t>
      </w:r>
      <w:r>
        <w:rPr>
          <w:rFonts w:hint="eastAsia"/>
          <w:sz w:val="21"/>
          <w:szCs w:val="21"/>
        </w:rPr>
        <w:t>.</w:t>
      </w:r>
      <w:r>
        <w:rPr>
          <w:rFonts w:hint="eastAsia"/>
          <w:sz w:val="21"/>
          <w:szCs w:val="21"/>
          <w:lang w:val="en-US" w:eastAsia="zh-CN"/>
        </w:rPr>
        <w:t>1</w:t>
      </w:r>
      <w:r>
        <w:rPr>
          <w:rFonts w:hint="eastAsia"/>
          <w:sz w:val="21"/>
          <w:szCs w:val="21"/>
        </w:rPr>
        <w:t>.1 定期随访：根据患者病情稳定程度制定随访频率，病情稳定者每 1-3 个月随访一次，病情不稳定者每 1-2 周随访一次，通过平台实现线上随访</w:t>
      </w:r>
      <w:r>
        <w:rPr>
          <w:rFonts w:hint="eastAsia"/>
          <w:sz w:val="21"/>
          <w:szCs w:val="21"/>
          <w:lang w:eastAsia="zh-CN"/>
        </w:rPr>
        <w:t>。</w:t>
      </w:r>
    </w:p>
    <w:p>
      <w:pPr>
        <w:ind w:left="0" w:leftChars="0" w:firstLine="0" w:firstLineChars="0"/>
        <w:rPr>
          <w:rFonts w:hint="eastAsia"/>
          <w:sz w:val="21"/>
          <w:szCs w:val="21"/>
          <w:lang w:eastAsia="zh-CN"/>
        </w:rPr>
      </w:pPr>
      <w:r>
        <w:rPr>
          <w:rFonts w:hint="eastAsia"/>
          <w:sz w:val="21"/>
          <w:szCs w:val="21"/>
          <w:lang w:val="en-US" w:eastAsia="zh-CN"/>
        </w:rPr>
        <w:t>5</w:t>
      </w:r>
      <w:r>
        <w:rPr>
          <w:rFonts w:hint="eastAsia"/>
          <w:sz w:val="21"/>
          <w:szCs w:val="21"/>
        </w:rPr>
        <w:t>.</w:t>
      </w:r>
      <w:r>
        <w:rPr>
          <w:rFonts w:hint="eastAsia"/>
          <w:sz w:val="21"/>
          <w:szCs w:val="21"/>
          <w:lang w:val="en-US" w:eastAsia="zh-CN"/>
        </w:rPr>
        <w:t>5</w:t>
      </w:r>
      <w:r>
        <w:rPr>
          <w:rFonts w:hint="eastAsia"/>
          <w:sz w:val="21"/>
          <w:szCs w:val="21"/>
        </w:rPr>
        <w:t>.</w:t>
      </w:r>
      <w:r>
        <w:rPr>
          <w:rFonts w:hint="eastAsia"/>
          <w:sz w:val="21"/>
          <w:szCs w:val="21"/>
          <w:lang w:val="en-US" w:eastAsia="zh-CN"/>
        </w:rPr>
        <w:t>1</w:t>
      </w:r>
      <w:r>
        <w:rPr>
          <w:rFonts w:hint="eastAsia"/>
          <w:sz w:val="21"/>
          <w:szCs w:val="21"/>
        </w:rPr>
        <w:t>.2 效果评估：每次随访时评估患者血糖控制情况、治疗依从性、生活方式改变情况，运用智能模型复评并发症风险</w:t>
      </w:r>
      <w:r>
        <w:rPr>
          <w:rFonts w:hint="eastAsia"/>
          <w:sz w:val="21"/>
          <w:szCs w:val="21"/>
          <w:lang w:eastAsia="zh-CN"/>
        </w:rPr>
        <w:t>。</w:t>
      </w:r>
    </w:p>
    <w:p>
      <w:pPr>
        <w:ind w:left="0" w:leftChars="0" w:firstLine="0" w:firstLineChars="0"/>
        <w:rPr>
          <w:rFonts w:hint="eastAsia"/>
          <w:sz w:val="21"/>
          <w:szCs w:val="21"/>
          <w:lang w:eastAsia="zh-CN"/>
        </w:rPr>
      </w:pPr>
      <w:r>
        <w:rPr>
          <w:rFonts w:hint="eastAsia"/>
          <w:sz w:val="21"/>
          <w:szCs w:val="21"/>
          <w:lang w:val="en-US" w:eastAsia="zh-CN"/>
        </w:rPr>
        <w:t>5</w:t>
      </w:r>
      <w:r>
        <w:rPr>
          <w:rFonts w:hint="eastAsia"/>
          <w:sz w:val="21"/>
          <w:szCs w:val="21"/>
        </w:rPr>
        <w:t>.</w:t>
      </w:r>
      <w:r>
        <w:rPr>
          <w:rFonts w:hint="eastAsia"/>
          <w:sz w:val="21"/>
          <w:szCs w:val="21"/>
          <w:lang w:val="en-US" w:eastAsia="zh-CN"/>
        </w:rPr>
        <w:t>5</w:t>
      </w:r>
      <w:r>
        <w:rPr>
          <w:rFonts w:hint="eastAsia"/>
          <w:sz w:val="21"/>
          <w:szCs w:val="21"/>
        </w:rPr>
        <w:t>.</w:t>
      </w:r>
      <w:r>
        <w:rPr>
          <w:rFonts w:hint="eastAsia"/>
          <w:sz w:val="21"/>
          <w:szCs w:val="21"/>
          <w:lang w:val="en-US" w:eastAsia="zh-CN"/>
        </w:rPr>
        <w:t>1</w:t>
      </w:r>
      <w:r>
        <w:rPr>
          <w:rFonts w:hint="eastAsia"/>
          <w:sz w:val="21"/>
          <w:szCs w:val="21"/>
        </w:rPr>
        <w:t>.3 方案调整：根据随访评估结果，联合临床医生调整用药提醒、饮食运动方案、监测计划等，优化管理策略</w:t>
      </w:r>
      <w:r>
        <w:rPr>
          <w:rFonts w:hint="eastAsia"/>
          <w:sz w:val="21"/>
          <w:szCs w:val="21"/>
          <w:lang w:eastAsia="zh-CN"/>
        </w:rPr>
        <w:t>。</w:t>
      </w:r>
    </w:p>
    <w:p>
      <w:pPr>
        <w:ind w:left="0" w:leftChars="0" w:firstLine="0" w:firstLineChars="0"/>
        <w:rPr>
          <w:rFonts w:hint="eastAsia"/>
          <w:sz w:val="21"/>
          <w:szCs w:val="21"/>
        </w:rPr>
      </w:pPr>
      <w:r>
        <w:rPr>
          <w:rFonts w:hint="eastAsia"/>
          <w:sz w:val="21"/>
          <w:szCs w:val="21"/>
          <w:lang w:val="en-US" w:eastAsia="zh-CN"/>
        </w:rPr>
        <w:t>5</w:t>
      </w:r>
      <w:r>
        <w:rPr>
          <w:rFonts w:hint="eastAsia"/>
          <w:sz w:val="21"/>
          <w:szCs w:val="21"/>
        </w:rPr>
        <w:t>.</w:t>
      </w:r>
      <w:r>
        <w:rPr>
          <w:rFonts w:hint="eastAsia"/>
          <w:sz w:val="21"/>
          <w:szCs w:val="21"/>
          <w:lang w:val="en-US" w:eastAsia="zh-CN"/>
        </w:rPr>
        <w:t>5</w:t>
      </w:r>
      <w:r>
        <w:rPr>
          <w:rFonts w:hint="eastAsia"/>
          <w:sz w:val="21"/>
          <w:szCs w:val="21"/>
        </w:rPr>
        <w:t>.</w:t>
      </w:r>
      <w:r>
        <w:rPr>
          <w:rFonts w:hint="eastAsia"/>
          <w:sz w:val="21"/>
          <w:szCs w:val="21"/>
          <w:lang w:val="en-US" w:eastAsia="zh-CN"/>
        </w:rPr>
        <w:t>1</w:t>
      </w:r>
      <w:r>
        <w:rPr>
          <w:rFonts w:hint="eastAsia"/>
          <w:sz w:val="21"/>
          <w:szCs w:val="21"/>
        </w:rPr>
        <w:t>.4 问题解答：通过平台为患者提供在线咨询服务，解答用药、饮食、运动等方面的疑问，及时解决患者管理过程中遇到的问题。</w:t>
      </w:r>
    </w:p>
    <w:p>
      <w:pPr>
        <w:pStyle w:val="15"/>
        <w:bidi w:val="0"/>
        <w:rPr>
          <w:rFonts w:hint="eastAsia"/>
        </w:rPr>
      </w:pPr>
      <w:r>
        <w:rPr>
          <w:rFonts w:hint="eastAsia"/>
        </w:rPr>
        <w:t>康复维护期管理</w:t>
      </w:r>
    </w:p>
    <w:p>
      <w:pPr>
        <w:ind w:left="0" w:leftChars="0" w:firstLine="0" w:firstLineChars="0"/>
        <w:rPr>
          <w:rFonts w:hint="eastAsia"/>
          <w:sz w:val="21"/>
          <w:szCs w:val="21"/>
        </w:rPr>
      </w:pPr>
      <w:r>
        <w:rPr>
          <w:rFonts w:hint="eastAsia"/>
          <w:sz w:val="21"/>
          <w:szCs w:val="21"/>
          <w:lang w:val="en-US" w:eastAsia="zh-CN"/>
        </w:rPr>
        <w:t>5</w:t>
      </w:r>
      <w:r>
        <w:rPr>
          <w:rFonts w:hint="eastAsia"/>
          <w:sz w:val="21"/>
          <w:szCs w:val="21"/>
        </w:rPr>
        <w:t>.</w:t>
      </w:r>
      <w:r>
        <w:rPr>
          <w:rFonts w:hint="eastAsia"/>
          <w:sz w:val="21"/>
          <w:szCs w:val="21"/>
          <w:lang w:val="en-US" w:eastAsia="zh-CN"/>
        </w:rPr>
        <w:t>6</w:t>
      </w:r>
      <w:r>
        <w:rPr>
          <w:rFonts w:hint="eastAsia"/>
          <w:sz w:val="21"/>
          <w:szCs w:val="21"/>
        </w:rPr>
        <w:t>.</w:t>
      </w:r>
      <w:r>
        <w:rPr>
          <w:rFonts w:hint="eastAsia"/>
          <w:sz w:val="21"/>
          <w:szCs w:val="21"/>
          <w:lang w:val="en-US" w:eastAsia="zh-CN"/>
        </w:rPr>
        <w:t>1</w:t>
      </w:r>
      <w:r>
        <w:rPr>
          <w:rFonts w:hint="eastAsia"/>
          <w:sz w:val="21"/>
          <w:szCs w:val="21"/>
        </w:rPr>
        <w:t xml:space="preserve"> 服务内容</w:t>
      </w:r>
    </w:p>
    <w:p>
      <w:pPr>
        <w:ind w:left="0" w:leftChars="0" w:firstLine="0" w:firstLineChars="0"/>
        <w:rPr>
          <w:rFonts w:hint="eastAsia"/>
          <w:sz w:val="21"/>
          <w:szCs w:val="21"/>
          <w:lang w:eastAsia="zh-CN"/>
        </w:rPr>
      </w:pPr>
      <w:r>
        <w:rPr>
          <w:rFonts w:hint="eastAsia"/>
          <w:sz w:val="21"/>
          <w:szCs w:val="21"/>
          <w:lang w:val="en-US" w:eastAsia="zh-CN"/>
        </w:rPr>
        <w:t>5</w:t>
      </w:r>
      <w:r>
        <w:rPr>
          <w:rFonts w:hint="eastAsia"/>
          <w:sz w:val="21"/>
          <w:szCs w:val="21"/>
        </w:rPr>
        <w:t>.</w:t>
      </w:r>
      <w:r>
        <w:rPr>
          <w:rFonts w:hint="eastAsia"/>
          <w:sz w:val="21"/>
          <w:szCs w:val="21"/>
          <w:lang w:val="en-US" w:eastAsia="zh-CN"/>
        </w:rPr>
        <w:t>6</w:t>
      </w:r>
      <w:r>
        <w:rPr>
          <w:rFonts w:hint="eastAsia"/>
          <w:sz w:val="21"/>
          <w:szCs w:val="21"/>
        </w:rPr>
        <w:t>.</w:t>
      </w:r>
      <w:r>
        <w:rPr>
          <w:rFonts w:hint="eastAsia"/>
          <w:sz w:val="21"/>
          <w:szCs w:val="21"/>
          <w:lang w:val="en-US" w:eastAsia="zh-CN"/>
        </w:rPr>
        <w:t>1</w:t>
      </w:r>
      <w:r>
        <w:rPr>
          <w:rFonts w:hint="eastAsia"/>
          <w:sz w:val="21"/>
          <w:szCs w:val="21"/>
        </w:rPr>
        <w:t>.1 长期健康管理：推送长期健康生活方式指导，包括饮食、运动、作息、心理调节等内容，帮助患者养成良好习惯</w:t>
      </w:r>
      <w:r>
        <w:rPr>
          <w:rFonts w:hint="eastAsia"/>
          <w:sz w:val="21"/>
          <w:szCs w:val="21"/>
          <w:lang w:eastAsia="zh-CN"/>
        </w:rPr>
        <w:t>。</w:t>
      </w:r>
    </w:p>
    <w:p>
      <w:pPr>
        <w:ind w:left="0" w:leftChars="0" w:firstLine="0" w:firstLineChars="0"/>
        <w:rPr>
          <w:rFonts w:hint="eastAsia"/>
          <w:sz w:val="21"/>
          <w:szCs w:val="21"/>
          <w:lang w:eastAsia="zh-CN"/>
        </w:rPr>
      </w:pPr>
      <w:r>
        <w:rPr>
          <w:rFonts w:hint="eastAsia"/>
          <w:sz w:val="21"/>
          <w:szCs w:val="21"/>
          <w:lang w:val="en-US" w:eastAsia="zh-CN"/>
        </w:rPr>
        <w:t>5</w:t>
      </w:r>
      <w:r>
        <w:rPr>
          <w:rFonts w:hint="eastAsia"/>
          <w:sz w:val="21"/>
          <w:szCs w:val="21"/>
        </w:rPr>
        <w:t>.</w:t>
      </w:r>
      <w:r>
        <w:rPr>
          <w:rFonts w:hint="eastAsia"/>
          <w:sz w:val="21"/>
          <w:szCs w:val="21"/>
          <w:lang w:val="en-US" w:eastAsia="zh-CN"/>
        </w:rPr>
        <w:t>6</w:t>
      </w:r>
      <w:r>
        <w:rPr>
          <w:rFonts w:hint="eastAsia"/>
          <w:sz w:val="21"/>
          <w:szCs w:val="21"/>
        </w:rPr>
        <w:t>.</w:t>
      </w:r>
      <w:r>
        <w:rPr>
          <w:rFonts w:hint="eastAsia"/>
          <w:sz w:val="21"/>
          <w:szCs w:val="21"/>
          <w:lang w:val="en-US" w:eastAsia="zh-CN"/>
        </w:rPr>
        <w:t>1</w:t>
      </w:r>
      <w:r>
        <w:rPr>
          <w:rFonts w:hint="eastAsia"/>
          <w:sz w:val="21"/>
          <w:szCs w:val="21"/>
        </w:rPr>
        <w:t>.2 并发症监测：针对高风险患者，设置并发症定期筛查提醒，推送筛查项目和时间安排，跟踪筛查结果</w:t>
      </w:r>
      <w:r>
        <w:rPr>
          <w:rFonts w:hint="eastAsia"/>
          <w:sz w:val="21"/>
          <w:szCs w:val="21"/>
          <w:lang w:eastAsia="zh-CN"/>
        </w:rPr>
        <w:t>。</w:t>
      </w:r>
    </w:p>
    <w:p>
      <w:pPr>
        <w:ind w:left="0" w:leftChars="0" w:firstLine="0" w:firstLineChars="0"/>
        <w:rPr>
          <w:rFonts w:hint="eastAsia"/>
          <w:sz w:val="21"/>
          <w:szCs w:val="21"/>
          <w:lang w:eastAsia="zh-CN"/>
        </w:rPr>
      </w:pPr>
      <w:r>
        <w:rPr>
          <w:rFonts w:hint="eastAsia"/>
          <w:sz w:val="21"/>
          <w:szCs w:val="21"/>
          <w:lang w:val="en-US" w:eastAsia="zh-CN"/>
        </w:rPr>
        <w:t>5</w:t>
      </w:r>
      <w:r>
        <w:rPr>
          <w:rFonts w:hint="eastAsia"/>
          <w:sz w:val="21"/>
          <w:szCs w:val="21"/>
        </w:rPr>
        <w:t>.</w:t>
      </w:r>
      <w:r>
        <w:rPr>
          <w:rFonts w:hint="eastAsia"/>
          <w:sz w:val="21"/>
          <w:szCs w:val="21"/>
          <w:lang w:val="en-US" w:eastAsia="zh-CN"/>
        </w:rPr>
        <w:t>6</w:t>
      </w:r>
      <w:r>
        <w:rPr>
          <w:rFonts w:hint="eastAsia"/>
          <w:sz w:val="21"/>
          <w:szCs w:val="21"/>
        </w:rPr>
        <w:t>.</w:t>
      </w:r>
      <w:r>
        <w:rPr>
          <w:rFonts w:hint="eastAsia"/>
          <w:sz w:val="21"/>
          <w:szCs w:val="21"/>
          <w:lang w:val="en-US" w:eastAsia="zh-CN"/>
        </w:rPr>
        <w:t>1</w:t>
      </w:r>
      <w:r>
        <w:rPr>
          <w:rFonts w:hint="eastAsia"/>
          <w:sz w:val="21"/>
          <w:szCs w:val="21"/>
        </w:rPr>
        <w:t>.3 健康激励：通过平台设置健康目标（如规律运动天数、血糖达标率），建立积分、勋章等激励机制，提升患者长期参与积极性</w:t>
      </w:r>
      <w:r>
        <w:rPr>
          <w:rFonts w:hint="eastAsia"/>
          <w:sz w:val="21"/>
          <w:szCs w:val="21"/>
          <w:lang w:eastAsia="zh-CN"/>
        </w:rPr>
        <w:t>。</w:t>
      </w:r>
    </w:p>
    <w:p>
      <w:pPr>
        <w:ind w:left="0" w:leftChars="0" w:firstLine="0" w:firstLineChars="0"/>
        <w:rPr>
          <w:rFonts w:hint="eastAsia"/>
          <w:sz w:val="21"/>
          <w:szCs w:val="21"/>
        </w:rPr>
      </w:pPr>
      <w:r>
        <w:rPr>
          <w:rFonts w:hint="eastAsia"/>
          <w:sz w:val="21"/>
          <w:szCs w:val="21"/>
          <w:lang w:val="en-US" w:eastAsia="zh-CN"/>
        </w:rPr>
        <w:t>5</w:t>
      </w:r>
      <w:r>
        <w:rPr>
          <w:rFonts w:hint="eastAsia"/>
          <w:sz w:val="21"/>
          <w:szCs w:val="21"/>
        </w:rPr>
        <w:t>.</w:t>
      </w:r>
      <w:r>
        <w:rPr>
          <w:rFonts w:hint="eastAsia"/>
          <w:sz w:val="21"/>
          <w:szCs w:val="21"/>
          <w:lang w:val="en-US" w:eastAsia="zh-CN"/>
        </w:rPr>
        <w:t>6</w:t>
      </w:r>
      <w:r>
        <w:rPr>
          <w:rFonts w:hint="eastAsia"/>
          <w:sz w:val="21"/>
          <w:szCs w:val="21"/>
        </w:rPr>
        <w:t>.</w:t>
      </w:r>
      <w:r>
        <w:rPr>
          <w:rFonts w:hint="eastAsia"/>
          <w:sz w:val="21"/>
          <w:szCs w:val="21"/>
          <w:lang w:val="en-US" w:eastAsia="zh-CN"/>
        </w:rPr>
        <w:t>1</w:t>
      </w:r>
      <w:r>
        <w:rPr>
          <w:rFonts w:hint="eastAsia"/>
          <w:sz w:val="21"/>
          <w:szCs w:val="21"/>
        </w:rPr>
        <w:t>.4 定期复评：每6</w:t>
      </w:r>
      <w:r>
        <w:rPr>
          <w:rFonts w:hint="eastAsia"/>
          <w:sz w:val="21"/>
          <w:szCs w:val="21"/>
          <w:lang w:val="en-US" w:eastAsia="zh-CN"/>
        </w:rPr>
        <w:t xml:space="preserve"> </w:t>
      </w:r>
      <w:r>
        <w:rPr>
          <w:rFonts w:hint="eastAsia"/>
          <w:sz w:val="21"/>
          <w:szCs w:val="21"/>
        </w:rPr>
        <w:t>-</w:t>
      </w:r>
      <w:r>
        <w:rPr>
          <w:rFonts w:hint="eastAsia"/>
          <w:sz w:val="21"/>
          <w:szCs w:val="21"/>
          <w:lang w:val="en-US" w:eastAsia="zh-CN"/>
        </w:rPr>
        <w:t xml:space="preserve"> </w:t>
      </w:r>
      <w:r>
        <w:rPr>
          <w:rFonts w:hint="eastAsia"/>
          <w:sz w:val="21"/>
          <w:szCs w:val="21"/>
        </w:rPr>
        <w:t>12个月进行一次全面健康复评，评估患者整体健康状况、并发症风险和管理服务效果，动态调整长期管理方案。</w:t>
      </w:r>
    </w:p>
    <w:p>
      <w:pPr>
        <w:pStyle w:val="19"/>
        <w:bidi w:val="0"/>
        <w:rPr>
          <w:rFonts w:hint="eastAsia"/>
        </w:rPr>
      </w:pPr>
      <w:bookmarkStart w:id="25" w:name="_Toc29102"/>
      <w:r>
        <w:rPr>
          <w:rFonts w:hint="eastAsia"/>
        </w:rPr>
        <w:t>数据管理</w:t>
      </w:r>
      <w:bookmarkEnd w:id="25"/>
    </w:p>
    <w:p>
      <w:pPr>
        <w:pStyle w:val="15"/>
        <w:bidi w:val="0"/>
        <w:rPr>
          <w:rFonts w:hint="eastAsia"/>
        </w:rPr>
      </w:pPr>
      <w:r>
        <w:rPr>
          <w:rFonts w:hint="eastAsia"/>
        </w:rPr>
        <w:t>数据存储</w:t>
      </w:r>
    </w:p>
    <w:p>
      <w:pPr>
        <w:ind w:left="0" w:leftChars="0" w:firstLine="0" w:firstLineChars="0"/>
        <w:rPr>
          <w:rFonts w:hint="eastAsia"/>
          <w:sz w:val="21"/>
          <w:szCs w:val="21"/>
          <w:lang w:eastAsia="zh-CN"/>
        </w:rPr>
      </w:pPr>
      <w:r>
        <w:rPr>
          <w:rFonts w:hint="eastAsia"/>
          <w:sz w:val="21"/>
          <w:szCs w:val="21"/>
          <w:lang w:val="en-US" w:eastAsia="zh-CN"/>
        </w:rPr>
        <w:t>6.1.1</w:t>
      </w:r>
      <w:r>
        <w:rPr>
          <w:rFonts w:hint="eastAsia"/>
          <w:sz w:val="21"/>
          <w:szCs w:val="21"/>
        </w:rPr>
        <w:t xml:space="preserve"> 数据存储：采用安全可靠的数据库系统存储数据，支持海量数据长期存储和快速检索；实行异地备份、定期备份制度，建立数据恢复机制</w:t>
      </w:r>
      <w:r>
        <w:rPr>
          <w:rFonts w:hint="eastAsia"/>
          <w:sz w:val="21"/>
          <w:szCs w:val="21"/>
          <w:lang w:eastAsia="zh-CN"/>
        </w:rPr>
        <w:t>。</w:t>
      </w:r>
    </w:p>
    <w:p>
      <w:pPr>
        <w:ind w:left="0" w:leftChars="0" w:firstLine="0" w:firstLineChars="0"/>
        <w:rPr>
          <w:rFonts w:hint="eastAsia"/>
          <w:sz w:val="21"/>
          <w:szCs w:val="21"/>
        </w:rPr>
      </w:pPr>
      <w:r>
        <w:rPr>
          <w:rFonts w:hint="eastAsia"/>
          <w:sz w:val="21"/>
          <w:szCs w:val="21"/>
          <w:lang w:val="en-US" w:eastAsia="zh-CN"/>
        </w:rPr>
        <w:t>6.1.2</w:t>
      </w:r>
      <w:r>
        <w:rPr>
          <w:rFonts w:hint="eastAsia"/>
          <w:sz w:val="21"/>
          <w:szCs w:val="21"/>
        </w:rPr>
        <w:t xml:space="preserve"> 数据脱敏：对患者个人敏感信息进行脱敏处理，仅在必要场景下授权访问原始信息，保护患者隐私。</w:t>
      </w:r>
    </w:p>
    <w:p>
      <w:pPr>
        <w:pStyle w:val="15"/>
        <w:bidi w:val="0"/>
        <w:rPr>
          <w:rFonts w:hint="eastAsia"/>
        </w:rPr>
      </w:pPr>
      <w:r>
        <w:rPr>
          <w:rFonts w:hint="eastAsia"/>
        </w:rPr>
        <w:t>数据安全与隐私保护</w:t>
      </w:r>
    </w:p>
    <w:p>
      <w:pPr>
        <w:ind w:left="0" w:leftChars="0" w:firstLine="0" w:firstLineChars="0"/>
        <w:rPr>
          <w:rFonts w:hint="eastAsia"/>
          <w:sz w:val="21"/>
          <w:szCs w:val="21"/>
          <w:lang w:eastAsia="zh-CN"/>
        </w:rPr>
      </w:pPr>
      <w:r>
        <w:rPr>
          <w:rFonts w:hint="eastAsia"/>
          <w:sz w:val="21"/>
          <w:szCs w:val="21"/>
          <w:lang w:val="en-US" w:eastAsia="zh-CN"/>
        </w:rPr>
        <w:t>6.2.1</w:t>
      </w:r>
      <w:r>
        <w:rPr>
          <w:rFonts w:hint="eastAsia"/>
          <w:sz w:val="21"/>
          <w:szCs w:val="21"/>
        </w:rPr>
        <w:t xml:space="preserve"> 安全管理：建立分级授权的数据访问机制，明确不同岗位人员的访问权限；平台应符合 GB/T 22239 网络安全等级保护要求，配备防火墙、入侵检测等安全设备</w:t>
      </w:r>
      <w:r>
        <w:rPr>
          <w:rFonts w:hint="eastAsia"/>
          <w:sz w:val="21"/>
          <w:szCs w:val="21"/>
          <w:lang w:eastAsia="zh-CN"/>
        </w:rPr>
        <w:t>。</w:t>
      </w:r>
    </w:p>
    <w:p>
      <w:pPr>
        <w:ind w:left="0" w:leftChars="0" w:firstLine="0" w:firstLineChars="0"/>
        <w:rPr>
          <w:rFonts w:hint="eastAsia"/>
          <w:sz w:val="21"/>
          <w:szCs w:val="21"/>
          <w:lang w:eastAsia="zh-CN"/>
        </w:rPr>
      </w:pPr>
      <w:r>
        <w:rPr>
          <w:rFonts w:hint="eastAsia"/>
          <w:sz w:val="21"/>
          <w:szCs w:val="21"/>
          <w:lang w:val="en-US" w:eastAsia="zh-CN"/>
        </w:rPr>
        <w:t>6.2</w:t>
      </w:r>
      <w:r>
        <w:rPr>
          <w:rFonts w:hint="eastAsia"/>
          <w:sz w:val="21"/>
          <w:szCs w:val="21"/>
        </w:rPr>
        <w:t>.2 隐私保护：严格遵守 GB/T 35273 个人信息安全规范，明确数据收集、使用、共享的边界，不得非法泄露、出售患者数据</w:t>
      </w:r>
      <w:r>
        <w:rPr>
          <w:rFonts w:hint="eastAsia"/>
          <w:sz w:val="21"/>
          <w:szCs w:val="21"/>
          <w:lang w:eastAsia="zh-CN"/>
        </w:rPr>
        <w:t>。</w:t>
      </w:r>
    </w:p>
    <w:p>
      <w:pPr>
        <w:ind w:left="0" w:leftChars="0" w:firstLine="0" w:firstLineChars="0"/>
        <w:rPr>
          <w:rFonts w:hint="eastAsia"/>
          <w:sz w:val="21"/>
          <w:szCs w:val="21"/>
        </w:rPr>
      </w:pPr>
      <w:r>
        <w:rPr>
          <w:rFonts w:hint="eastAsia"/>
          <w:sz w:val="21"/>
          <w:szCs w:val="21"/>
          <w:lang w:val="en-US" w:eastAsia="zh-CN"/>
        </w:rPr>
        <w:t>6.2</w:t>
      </w:r>
      <w:r>
        <w:rPr>
          <w:rFonts w:hint="eastAsia"/>
          <w:sz w:val="21"/>
          <w:szCs w:val="21"/>
        </w:rPr>
        <w:t>.3 应急处置：建立数据安全事件应急预案，对数据泄露、丢失等事件及时采取处置措施，并按规定上报相关部门。</w:t>
      </w:r>
    </w:p>
    <w:p>
      <w:pPr>
        <w:pStyle w:val="16"/>
        <w:keepNext w:val="0"/>
        <w:keepLines w:val="0"/>
        <w:pageBreakBefore w:val="0"/>
        <w:widowControl/>
        <w:numPr>
          <w:ilvl w:val="0"/>
          <w:numId w:val="0"/>
        </w:numPr>
        <w:tabs>
          <w:tab w:val="center" w:pos="4201"/>
          <w:tab w:val="right" w:leader="dot" w:pos="9298"/>
        </w:tabs>
        <w:kinsoku/>
        <w:wordWrap/>
        <w:overflowPunct/>
        <w:topLinePunct w:val="0"/>
        <w:autoSpaceDE w:val="0"/>
        <w:autoSpaceDN w:val="0"/>
        <w:bidi w:val="0"/>
        <w:adjustRightInd/>
        <w:snapToGrid/>
        <w:spacing w:line="360" w:lineRule="exact"/>
        <w:textAlignment w:val="auto"/>
        <w:rPr>
          <w:rFonts w:hint="eastAsia" w:ascii="Times New Roman"/>
          <w:color w:val="000000"/>
          <w:lang w:val="en-US" w:eastAsia="zh-CN"/>
        </w:rPr>
      </w:pPr>
      <w:r>
        <w:rPr>
          <w:rFonts w:hint="eastAsia" w:ascii="Times New Roman"/>
          <w:color w:val="000000"/>
          <w:lang w:val="en-US" w:eastAsia="zh-CN"/>
        </w:rPr>
        <w:t>6.2.4 跨境传输前应去标识化、匿名化、脱敏，去除可直接识别自然人的字段。</w:t>
      </w:r>
    </w:p>
    <w:p>
      <w:pPr>
        <w:pStyle w:val="16"/>
        <w:keepNext w:val="0"/>
        <w:keepLines w:val="0"/>
        <w:pageBreakBefore w:val="0"/>
        <w:widowControl/>
        <w:numPr>
          <w:ilvl w:val="0"/>
          <w:numId w:val="0"/>
        </w:numPr>
        <w:tabs>
          <w:tab w:val="center" w:pos="4201"/>
          <w:tab w:val="right" w:leader="dot" w:pos="9298"/>
        </w:tabs>
        <w:kinsoku/>
        <w:wordWrap/>
        <w:overflowPunct/>
        <w:topLinePunct w:val="0"/>
        <w:autoSpaceDE w:val="0"/>
        <w:autoSpaceDN w:val="0"/>
        <w:bidi w:val="0"/>
        <w:adjustRightInd/>
        <w:snapToGrid/>
        <w:spacing w:line="360" w:lineRule="exact"/>
        <w:textAlignment w:val="auto"/>
        <w:rPr>
          <w:rFonts w:hint="eastAsia" w:ascii="Times New Roman"/>
          <w:color w:val="000000"/>
          <w:lang w:val="en-US" w:eastAsia="zh-CN"/>
        </w:rPr>
      </w:pPr>
      <w:r>
        <w:rPr>
          <w:rFonts w:hint="eastAsia" w:ascii="Times New Roman"/>
          <w:color w:val="000000"/>
          <w:lang w:val="en-US" w:eastAsia="zh-CN"/>
        </w:rPr>
        <w:t>6.2.5 传输通道采用加密传输（TLS1.3+）、数据加密、完整性校验。</w:t>
      </w:r>
    </w:p>
    <w:p>
      <w:pPr>
        <w:pStyle w:val="16"/>
        <w:keepNext w:val="0"/>
        <w:keepLines w:val="0"/>
        <w:pageBreakBefore w:val="0"/>
        <w:widowControl/>
        <w:numPr>
          <w:ilvl w:val="0"/>
          <w:numId w:val="0"/>
        </w:numPr>
        <w:tabs>
          <w:tab w:val="center" w:pos="4201"/>
          <w:tab w:val="right" w:leader="dot" w:pos="9298"/>
        </w:tabs>
        <w:kinsoku/>
        <w:wordWrap/>
        <w:overflowPunct/>
        <w:topLinePunct w:val="0"/>
        <w:autoSpaceDE w:val="0"/>
        <w:autoSpaceDN w:val="0"/>
        <w:bidi w:val="0"/>
        <w:adjustRightInd/>
        <w:snapToGrid/>
        <w:spacing w:line="360" w:lineRule="exact"/>
        <w:textAlignment w:val="auto"/>
        <w:rPr>
          <w:rFonts w:hint="eastAsia" w:ascii="Times New Roman"/>
          <w:color w:val="000000"/>
          <w:lang w:val="en-US" w:eastAsia="zh-CN"/>
        </w:rPr>
      </w:pPr>
      <w:r>
        <w:rPr>
          <w:rFonts w:hint="eastAsia" w:ascii="Times New Roman"/>
          <w:color w:val="000000"/>
          <w:lang w:val="en-US" w:eastAsia="zh-CN"/>
        </w:rPr>
        <w:t>6.2.6 对境外接收方提出等同安全保护要求，禁止再次向第三方提供或超范围使用。</w:t>
      </w:r>
    </w:p>
    <w:p>
      <w:pPr>
        <w:pStyle w:val="16"/>
        <w:keepNext w:val="0"/>
        <w:keepLines w:val="0"/>
        <w:pageBreakBefore w:val="0"/>
        <w:widowControl/>
        <w:numPr>
          <w:ilvl w:val="0"/>
          <w:numId w:val="0"/>
        </w:numPr>
        <w:tabs>
          <w:tab w:val="center" w:pos="4201"/>
          <w:tab w:val="right" w:leader="dot" w:pos="9298"/>
        </w:tabs>
        <w:kinsoku/>
        <w:wordWrap/>
        <w:overflowPunct/>
        <w:topLinePunct w:val="0"/>
        <w:autoSpaceDE w:val="0"/>
        <w:autoSpaceDN w:val="0"/>
        <w:bidi w:val="0"/>
        <w:adjustRightInd/>
        <w:snapToGrid/>
        <w:spacing w:line="360" w:lineRule="exact"/>
        <w:textAlignment w:val="auto"/>
        <w:rPr>
          <w:rFonts w:hint="eastAsia" w:ascii="Times New Roman"/>
          <w:color w:val="000000"/>
        </w:rPr>
      </w:pPr>
      <w:r>
        <w:rPr>
          <w:rFonts w:hint="eastAsia" w:ascii="Times New Roman"/>
          <w:color w:val="000000"/>
          <w:lang w:val="en-US" w:eastAsia="zh-CN"/>
        </w:rPr>
        <w:t>6.2.7 建立跨境传输日志，记录时间、内容、量级、接收方、审批文件，留存不少于规定期限。</w:t>
      </w:r>
    </w:p>
    <w:p>
      <w:pPr>
        <w:pStyle w:val="16"/>
        <w:keepNext w:val="0"/>
        <w:keepLines w:val="0"/>
        <w:pageBreakBefore w:val="0"/>
        <w:widowControl/>
        <w:numPr>
          <w:ilvl w:val="0"/>
          <w:numId w:val="0"/>
        </w:numPr>
        <w:tabs>
          <w:tab w:val="center" w:pos="4201"/>
          <w:tab w:val="right" w:leader="dot" w:pos="9298"/>
        </w:tabs>
        <w:kinsoku/>
        <w:wordWrap/>
        <w:overflowPunct/>
        <w:topLinePunct w:val="0"/>
        <w:autoSpaceDE w:val="0"/>
        <w:autoSpaceDN w:val="0"/>
        <w:bidi w:val="0"/>
        <w:adjustRightInd/>
        <w:snapToGrid/>
        <w:spacing w:line="360" w:lineRule="exact"/>
        <w:textAlignment w:val="auto"/>
        <w:rPr>
          <w:rFonts w:hint="eastAsia"/>
          <w:sz w:val="21"/>
          <w:szCs w:val="21"/>
        </w:rPr>
      </w:pPr>
      <w:r>
        <w:rPr>
          <w:rFonts w:hint="eastAsia" w:ascii="Times New Roman"/>
          <w:color w:val="000000"/>
          <w:lang w:val="en-US" w:eastAsia="zh-CN"/>
        </w:rPr>
        <w:t>6.2.8 跨境数据传输应严格遵守国家关于数据出境安全评估、个人信息保护及人类遗传资源管理的相关法律法规，未经批准严禁向境外提供敏感健康数据。</w:t>
      </w:r>
    </w:p>
    <w:p>
      <w:pPr>
        <w:pStyle w:val="19"/>
        <w:bidi w:val="0"/>
        <w:rPr>
          <w:rFonts w:hint="eastAsia"/>
        </w:rPr>
      </w:pPr>
      <w:bookmarkStart w:id="26" w:name="_Toc9805"/>
      <w:r>
        <w:rPr>
          <w:rFonts w:hint="eastAsia"/>
        </w:rPr>
        <w:t>技术支撑与安全</w:t>
      </w:r>
      <w:bookmarkEnd w:id="26"/>
    </w:p>
    <w:p>
      <w:pPr>
        <w:pStyle w:val="15"/>
        <w:bidi w:val="0"/>
        <w:rPr>
          <w:rFonts w:hint="eastAsia"/>
        </w:rPr>
      </w:pPr>
      <w:r>
        <w:rPr>
          <w:rFonts w:hint="eastAsia"/>
        </w:rPr>
        <w:t>数字健康管理平台</w:t>
      </w:r>
    </w:p>
    <w:p>
      <w:pPr>
        <w:ind w:left="0" w:leftChars="0" w:firstLine="0" w:firstLineChars="0"/>
        <w:rPr>
          <w:rFonts w:hint="eastAsia"/>
          <w:sz w:val="21"/>
          <w:szCs w:val="21"/>
        </w:rPr>
      </w:pPr>
      <w:r>
        <w:rPr>
          <w:rFonts w:hint="eastAsia"/>
          <w:sz w:val="21"/>
          <w:szCs w:val="21"/>
          <w:lang w:val="en-US" w:eastAsia="zh-CN"/>
        </w:rPr>
        <w:t>7</w:t>
      </w:r>
      <w:r>
        <w:rPr>
          <w:rFonts w:hint="eastAsia"/>
          <w:sz w:val="21"/>
          <w:szCs w:val="21"/>
        </w:rPr>
        <w:t>.1.1 功能要求</w:t>
      </w:r>
    </w:p>
    <w:p>
      <w:pPr>
        <w:ind w:left="0" w:leftChars="0" w:firstLine="0" w:firstLineChars="0"/>
        <w:rPr>
          <w:rFonts w:hint="eastAsia" w:eastAsia="宋体"/>
          <w:sz w:val="21"/>
          <w:szCs w:val="21"/>
          <w:lang w:eastAsia="zh-CN"/>
        </w:rPr>
      </w:pPr>
      <w:r>
        <w:rPr>
          <w:rFonts w:hint="eastAsia"/>
          <w:sz w:val="21"/>
          <w:szCs w:val="21"/>
          <w:lang w:val="en-US" w:eastAsia="zh-CN"/>
        </w:rPr>
        <w:t>7</w:t>
      </w:r>
      <w:r>
        <w:rPr>
          <w:rFonts w:hint="eastAsia"/>
          <w:sz w:val="21"/>
          <w:szCs w:val="21"/>
        </w:rPr>
        <w:t>.1.1.2 智能分析功能：具备患者画像构建、风险预测、方案生成、效果评估等智能分析能力</w:t>
      </w:r>
      <w:r>
        <w:rPr>
          <w:rFonts w:hint="eastAsia"/>
          <w:sz w:val="21"/>
          <w:szCs w:val="21"/>
          <w:lang w:eastAsia="zh-CN"/>
        </w:rPr>
        <w:t>。</w:t>
      </w:r>
    </w:p>
    <w:p>
      <w:pPr>
        <w:ind w:left="0" w:leftChars="0" w:firstLine="0" w:firstLineChars="0"/>
        <w:rPr>
          <w:rFonts w:hint="eastAsia"/>
          <w:sz w:val="21"/>
          <w:szCs w:val="21"/>
          <w:lang w:eastAsia="zh-CN"/>
        </w:rPr>
      </w:pPr>
      <w:r>
        <w:rPr>
          <w:rFonts w:hint="eastAsia"/>
          <w:sz w:val="21"/>
          <w:szCs w:val="21"/>
          <w:lang w:val="en-US" w:eastAsia="zh-CN"/>
        </w:rPr>
        <w:t>7</w:t>
      </w:r>
      <w:r>
        <w:rPr>
          <w:rFonts w:hint="eastAsia"/>
          <w:sz w:val="21"/>
          <w:szCs w:val="21"/>
        </w:rPr>
        <w:t>.1.1.3 服务实施功能：支持个性化方案推送、用药提醒、监测提醒、在线咨询、随访管理等服务功能</w:t>
      </w:r>
      <w:r>
        <w:rPr>
          <w:rFonts w:hint="eastAsia"/>
          <w:sz w:val="21"/>
          <w:szCs w:val="21"/>
          <w:lang w:eastAsia="zh-CN"/>
        </w:rPr>
        <w:t>。</w:t>
      </w:r>
    </w:p>
    <w:p>
      <w:pPr>
        <w:ind w:left="0" w:leftChars="0" w:firstLine="0" w:firstLineChars="0"/>
        <w:rPr>
          <w:rFonts w:hint="eastAsia"/>
          <w:sz w:val="21"/>
          <w:szCs w:val="21"/>
          <w:lang w:eastAsia="zh-CN"/>
        </w:rPr>
      </w:pPr>
      <w:r>
        <w:rPr>
          <w:rFonts w:hint="eastAsia"/>
          <w:sz w:val="21"/>
          <w:szCs w:val="21"/>
          <w:lang w:val="en-US" w:eastAsia="zh-CN"/>
        </w:rPr>
        <w:t>7</w:t>
      </w:r>
      <w:r>
        <w:rPr>
          <w:rFonts w:hint="eastAsia"/>
          <w:sz w:val="21"/>
          <w:szCs w:val="21"/>
        </w:rPr>
        <w:t>.1.1.4 多端适配功能：支持患者端（APP、小程序）、医务人员端（PC 端、移动端）、管理端（PC 端）多端操作，功能权限清晰</w:t>
      </w:r>
      <w:r>
        <w:rPr>
          <w:rFonts w:hint="eastAsia"/>
          <w:sz w:val="21"/>
          <w:szCs w:val="21"/>
          <w:lang w:eastAsia="zh-CN"/>
        </w:rPr>
        <w:t>。</w:t>
      </w:r>
    </w:p>
    <w:p>
      <w:pPr>
        <w:ind w:left="0" w:leftChars="0" w:firstLine="0" w:firstLineChars="0"/>
        <w:rPr>
          <w:rFonts w:hint="eastAsia"/>
          <w:sz w:val="21"/>
          <w:szCs w:val="21"/>
        </w:rPr>
      </w:pPr>
      <w:r>
        <w:rPr>
          <w:rFonts w:hint="eastAsia"/>
          <w:sz w:val="21"/>
          <w:szCs w:val="21"/>
          <w:lang w:val="en-US" w:eastAsia="zh-CN"/>
        </w:rPr>
        <w:t>7</w:t>
      </w:r>
      <w:r>
        <w:rPr>
          <w:rFonts w:hint="eastAsia"/>
          <w:sz w:val="21"/>
          <w:szCs w:val="21"/>
        </w:rPr>
        <w:t>.1.1.5 系统管理功能：具备用户管理、权限管理、日志管理、系统升级、故障报警等功能。</w:t>
      </w:r>
    </w:p>
    <w:p>
      <w:pPr>
        <w:ind w:left="0" w:leftChars="0" w:firstLine="0" w:firstLineChars="0"/>
        <w:rPr>
          <w:rFonts w:hint="eastAsia"/>
          <w:sz w:val="21"/>
          <w:szCs w:val="21"/>
        </w:rPr>
      </w:pPr>
      <w:r>
        <w:rPr>
          <w:rFonts w:hint="eastAsia"/>
          <w:sz w:val="21"/>
          <w:szCs w:val="21"/>
          <w:lang w:val="en-US" w:eastAsia="zh-CN"/>
        </w:rPr>
        <w:t>7</w:t>
      </w:r>
      <w:r>
        <w:rPr>
          <w:rFonts w:hint="eastAsia"/>
          <w:sz w:val="21"/>
          <w:szCs w:val="21"/>
        </w:rPr>
        <w:t>.1.2 性能要求</w:t>
      </w:r>
    </w:p>
    <w:p>
      <w:pPr>
        <w:ind w:left="0" w:leftChars="0" w:firstLine="0" w:firstLineChars="0"/>
        <w:rPr>
          <w:rFonts w:hint="eastAsia"/>
          <w:sz w:val="21"/>
          <w:szCs w:val="21"/>
        </w:rPr>
      </w:pPr>
      <w:r>
        <w:rPr>
          <w:rFonts w:hint="eastAsia"/>
          <w:sz w:val="21"/>
          <w:szCs w:val="21"/>
          <w:lang w:val="en-US" w:eastAsia="zh-CN"/>
        </w:rPr>
        <w:t>7</w:t>
      </w:r>
      <w:r>
        <w:rPr>
          <w:rFonts w:hint="eastAsia"/>
          <w:sz w:val="21"/>
          <w:szCs w:val="21"/>
        </w:rPr>
        <w:t>.1.2.1 扩展性：支持用户规模和功能模块的灵活扩展，兼容新的物联网设备和数据格式</w:t>
      </w:r>
      <w:r>
        <w:rPr>
          <w:rFonts w:hint="eastAsia"/>
          <w:sz w:val="21"/>
          <w:szCs w:val="21"/>
          <w:lang w:eastAsia="zh-CN"/>
        </w:rPr>
        <w:t>。</w:t>
      </w:r>
      <w:r>
        <w:rPr>
          <w:rFonts w:hint="eastAsia"/>
          <w:sz w:val="21"/>
          <w:szCs w:val="21"/>
          <w:lang w:val="en-US" w:eastAsia="zh-CN"/>
        </w:rPr>
        <w:t>7</w:t>
      </w:r>
      <w:r>
        <w:rPr>
          <w:rFonts w:hint="eastAsia"/>
          <w:sz w:val="21"/>
          <w:szCs w:val="21"/>
        </w:rPr>
        <w:t>.1.2.</w:t>
      </w:r>
      <w:r>
        <w:rPr>
          <w:rFonts w:hint="eastAsia"/>
          <w:sz w:val="21"/>
          <w:szCs w:val="21"/>
          <w:lang w:val="en-US" w:eastAsia="zh-CN"/>
        </w:rPr>
        <w:t>2</w:t>
      </w:r>
      <w:r>
        <w:rPr>
          <w:rFonts w:hint="eastAsia"/>
          <w:sz w:val="21"/>
          <w:szCs w:val="21"/>
        </w:rPr>
        <w:t xml:space="preserve"> 兼容性：兼容主流操作系统（Windows、iOS、Android）和浏览器，支持多种智能设备接入。</w:t>
      </w:r>
    </w:p>
    <w:p>
      <w:pPr>
        <w:pStyle w:val="15"/>
        <w:bidi w:val="0"/>
        <w:rPr>
          <w:rFonts w:hint="eastAsia"/>
        </w:rPr>
      </w:pPr>
      <w:r>
        <w:rPr>
          <w:rFonts w:hint="eastAsia"/>
        </w:rPr>
        <w:t>物联网设备</w:t>
      </w:r>
    </w:p>
    <w:p>
      <w:pPr>
        <w:ind w:left="0" w:leftChars="0" w:firstLine="0" w:firstLineChars="0"/>
        <w:rPr>
          <w:rFonts w:hint="eastAsia"/>
          <w:sz w:val="21"/>
          <w:szCs w:val="21"/>
        </w:rPr>
      </w:pPr>
      <w:r>
        <w:rPr>
          <w:rFonts w:hint="eastAsia"/>
          <w:sz w:val="21"/>
          <w:szCs w:val="21"/>
          <w:lang w:val="en-US" w:eastAsia="zh-CN"/>
        </w:rPr>
        <w:t>7</w:t>
      </w:r>
      <w:r>
        <w:rPr>
          <w:rFonts w:hint="eastAsia"/>
          <w:sz w:val="21"/>
          <w:szCs w:val="21"/>
        </w:rPr>
        <w:t>.2.1 设备类型</w:t>
      </w:r>
    </w:p>
    <w:p>
      <w:pPr>
        <w:rPr>
          <w:rFonts w:hint="eastAsia"/>
          <w:sz w:val="21"/>
          <w:szCs w:val="21"/>
        </w:rPr>
      </w:pPr>
      <w:r>
        <w:rPr>
          <w:rFonts w:hint="eastAsia"/>
          <w:sz w:val="21"/>
          <w:szCs w:val="21"/>
        </w:rPr>
        <w:t>包括智能血糖仪、可穿戴血糖监测设备、</w:t>
      </w:r>
      <w:r>
        <w:rPr>
          <w:rFonts w:hint="eastAsia"/>
          <w:sz w:val="21"/>
          <w:szCs w:val="21"/>
          <w:lang w:eastAsia="zh-CN"/>
        </w:rPr>
        <w:t>动态血糖监测系统、</w:t>
      </w:r>
      <w:r>
        <w:rPr>
          <w:rFonts w:hint="eastAsia"/>
          <w:sz w:val="21"/>
          <w:szCs w:val="21"/>
        </w:rPr>
        <w:t>智能药盒、运动监测设备、血压监测设备</w:t>
      </w:r>
      <w:r>
        <w:rPr>
          <w:rFonts w:hint="eastAsia"/>
          <w:sz w:val="21"/>
          <w:szCs w:val="21"/>
          <w:lang w:eastAsia="zh-CN"/>
        </w:rPr>
        <w:t>、人体成分分析仪、足底压力检测设备</w:t>
      </w:r>
      <w:r>
        <w:rPr>
          <w:rFonts w:hint="eastAsia"/>
          <w:sz w:val="21"/>
          <w:szCs w:val="21"/>
        </w:rPr>
        <w:t>等，应符合国家医疗器械相关标准。</w:t>
      </w:r>
    </w:p>
    <w:p>
      <w:pPr>
        <w:ind w:left="0" w:leftChars="0" w:firstLine="0" w:firstLineChars="0"/>
        <w:rPr>
          <w:rFonts w:hint="eastAsia"/>
          <w:sz w:val="21"/>
          <w:szCs w:val="21"/>
        </w:rPr>
      </w:pPr>
      <w:r>
        <w:rPr>
          <w:rFonts w:hint="eastAsia"/>
          <w:sz w:val="21"/>
          <w:szCs w:val="21"/>
          <w:lang w:val="en-US" w:eastAsia="zh-CN"/>
        </w:rPr>
        <w:t>7</w:t>
      </w:r>
      <w:r>
        <w:rPr>
          <w:rFonts w:hint="eastAsia"/>
          <w:sz w:val="21"/>
          <w:szCs w:val="21"/>
        </w:rPr>
        <w:t>.2.2 技术要求</w:t>
      </w:r>
    </w:p>
    <w:p>
      <w:pPr>
        <w:ind w:left="0" w:leftChars="0" w:firstLine="0" w:firstLineChars="0"/>
        <w:rPr>
          <w:rFonts w:hint="eastAsia"/>
          <w:sz w:val="21"/>
          <w:szCs w:val="21"/>
          <w:lang w:eastAsia="zh-CN"/>
        </w:rPr>
      </w:pPr>
      <w:r>
        <w:rPr>
          <w:rFonts w:hint="eastAsia"/>
          <w:sz w:val="21"/>
          <w:szCs w:val="21"/>
          <w:lang w:val="en-US" w:eastAsia="zh-CN"/>
        </w:rPr>
        <w:t>7</w:t>
      </w:r>
      <w:r>
        <w:rPr>
          <w:rFonts w:hint="eastAsia"/>
          <w:sz w:val="21"/>
          <w:szCs w:val="21"/>
        </w:rPr>
        <w:t>.2.2.1 数据交互：具备数据自动采集、实时上传功能，支持与数字健康管理平台无缝对接，</w:t>
      </w:r>
      <w:r>
        <w:rPr>
          <w:rFonts w:hint="eastAsia"/>
          <w:sz w:val="21"/>
          <w:szCs w:val="21"/>
          <w:lang w:eastAsia="zh-CN"/>
        </w:rPr>
        <w:t>。</w:t>
      </w:r>
    </w:p>
    <w:p>
      <w:pPr>
        <w:ind w:left="0" w:leftChars="0" w:firstLine="0" w:firstLineChars="0"/>
        <w:rPr>
          <w:rFonts w:hint="eastAsia"/>
          <w:sz w:val="21"/>
          <w:szCs w:val="21"/>
          <w:lang w:eastAsia="zh-CN"/>
        </w:rPr>
      </w:pPr>
      <w:r>
        <w:rPr>
          <w:rFonts w:hint="eastAsia"/>
          <w:sz w:val="21"/>
          <w:szCs w:val="21"/>
          <w:lang w:val="en-US" w:eastAsia="zh-CN"/>
        </w:rPr>
        <w:t>7</w:t>
      </w:r>
      <w:r>
        <w:rPr>
          <w:rFonts w:hint="eastAsia"/>
          <w:sz w:val="21"/>
          <w:szCs w:val="21"/>
        </w:rPr>
        <w:t>.2.2.2 测量精度：智能血糖仪血糖测量误差符合 GB/T 19634 要求，其他设备测量精度符合相应国家或行业标准</w:t>
      </w:r>
      <w:r>
        <w:rPr>
          <w:rFonts w:hint="eastAsia"/>
          <w:sz w:val="21"/>
          <w:szCs w:val="21"/>
          <w:lang w:eastAsia="zh-CN"/>
        </w:rPr>
        <w:t>。</w:t>
      </w:r>
    </w:p>
    <w:p>
      <w:pPr>
        <w:ind w:left="0" w:leftChars="0" w:firstLine="0" w:firstLineChars="0"/>
        <w:rPr>
          <w:rFonts w:hint="eastAsia"/>
          <w:sz w:val="21"/>
          <w:szCs w:val="21"/>
          <w:lang w:eastAsia="zh-CN"/>
        </w:rPr>
      </w:pPr>
      <w:r>
        <w:rPr>
          <w:rFonts w:hint="eastAsia"/>
          <w:sz w:val="21"/>
          <w:szCs w:val="21"/>
          <w:lang w:val="en-US" w:eastAsia="zh-CN"/>
        </w:rPr>
        <w:t>7</w:t>
      </w:r>
      <w:r>
        <w:rPr>
          <w:rFonts w:hint="eastAsia"/>
          <w:sz w:val="21"/>
          <w:szCs w:val="21"/>
        </w:rPr>
        <w:t>.2.2.3 易用性：操作简单便捷，具备清晰的显示界面和操作指引，适合不同年龄层患者使用</w:t>
      </w:r>
      <w:r>
        <w:rPr>
          <w:rFonts w:hint="eastAsia"/>
          <w:sz w:val="21"/>
          <w:szCs w:val="21"/>
          <w:lang w:eastAsia="zh-CN"/>
        </w:rPr>
        <w:t>。</w:t>
      </w:r>
    </w:p>
    <w:p>
      <w:pPr>
        <w:pStyle w:val="15"/>
        <w:bidi w:val="0"/>
        <w:rPr>
          <w:rFonts w:hint="eastAsia"/>
          <w:lang w:eastAsia="zh-CN"/>
        </w:rPr>
      </w:pPr>
      <w:r>
        <w:rPr>
          <w:rFonts w:hint="eastAsia"/>
          <w:lang w:eastAsia="zh-CN"/>
        </w:rPr>
        <w:t>分层级实施与基层差异化路径</w:t>
      </w:r>
    </w:p>
    <w:p>
      <w:pPr>
        <w:ind w:left="0" w:leftChars="0" w:firstLine="0" w:firstLineChars="0"/>
        <w:rPr>
          <w:rFonts w:hint="eastAsia"/>
          <w:sz w:val="21"/>
          <w:szCs w:val="21"/>
          <w:lang w:eastAsia="zh-CN"/>
        </w:rPr>
      </w:pPr>
      <w:r>
        <w:rPr>
          <w:rFonts w:hint="eastAsia"/>
          <w:sz w:val="21"/>
          <w:szCs w:val="21"/>
          <w:lang w:val="en-US" w:eastAsia="zh-CN"/>
        </w:rPr>
        <w:t>7.3</w:t>
      </w:r>
      <w:r>
        <w:rPr>
          <w:rFonts w:hint="eastAsia"/>
          <w:sz w:val="21"/>
          <w:szCs w:val="21"/>
          <w:lang w:eastAsia="zh-CN"/>
        </w:rPr>
        <w:t>.</w:t>
      </w:r>
      <w:r>
        <w:rPr>
          <w:rFonts w:hint="eastAsia"/>
          <w:sz w:val="21"/>
          <w:szCs w:val="21"/>
          <w:lang w:val="en-US" w:eastAsia="zh-CN"/>
        </w:rPr>
        <w:t>1</w:t>
      </w:r>
      <w:r>
        <w:rPr>
          <w:rFonts w:hint="eastAsia"/>
          <w:sz w:val="21"/>
          <w:szCs w:val="21"/>
          <w:lang w:eastAsia="zh-CN"/>
        </w:rPr>
        <w:t xml:space="preserve"> 三级/二级医院路径（引领型）：</w:t>
      </w:r>
    </w:p>
    <w:p>
      <w:pPr>
        <w:ind w:left="0" w:leftChars="0" w:firstLine="420" w:firstLineChars="200"/>
        <w:rPr>
          <w:rFonts w:hint="eastAsia"/>
          <w:sz w:val="21"/>
          <w:szCs w:val="21"/>
          <w:lang w:eastAsia="zh-CN"/>
        </w:rPr>
      </w:pPr>
      <w:r>
        <w:rPr>
          <w:rFonts w:hint="eastAsia"/>
          <w:sz w:val="21"/>
          <w:szCs w:val="21"/>
          <w:lang w:eastAsia="zh-CN"/>
        </w:rPr>
        <w:t>设备配置：普及应用连续血糖监测（CGM）、动态血糖监测系统（CGMS）、智能人体成分分析仪等高端物联网设备，实现多模态数据的全自动实时采集。</w:t>
      </w:r>
    </w:p>
    <w:p>
      <w:pPr>
        <w:ind w:left="0" w:leftChars="0" w:firstLine="420" w:firstLineChars="200"/>
        <w:rPr>
          <w:rFonts w:hint="eastAsia"/>
          <w:sz w:val="21"/>
          <w:szCs w:val="21"/>
          <w:lang w:eastAsia="zh-CN"/>
        </w:rPr>
      </w:pPr>
      <w:r>
        <w:rPr>
          <w:rFonts w:hint="eastAsia"/>
          <w:sz w:val="21"/>
          <w:szCs w:val="21"/>
          <w:lang w:eastAsia="zh-CN"/>
        </w:rPr>
        <w:t>智能应用：全面接入高危因素风险预测、并发症风险智能评估、智能画像等复杂AI模型，开展全流程、高精度的高危管理与多学科（MDT）协同诊疗。</w:t>
      </w:r>
    </w:p>
    <w:p>
      <w:pPr>
        <w:ind w:left="0" w:leftChars="0" w:firstLine="0" w:firstLineChars="0"/>
        <w:rPr>
          <w:rFonts w:hint="eastAsia"/>
          <w:sz w:val="21"/>
          <w:szCs w:val="21"/>
          <w:lang w:eastAsia="zh-CN"/>
        </w:rPr>
      </w:pPr>
    </w:p>
    <w:p>
      <w:pPr>
        <w:ind w:left="0" w:leftChars="0" w:firstLine="0" w:firstLineChars="0"/>
        <w:rPr>
          <w:rFonts w:hint="eastAsia"/>
          <w:sz w:val="21"/>
          <w:szCs w:val="21"/>
          <w:lang w:eastAsia="zh-CN"/>
        </w:rPr>
      </w:pPr>
      <w:r>
        <w:rPr>
          <w:rFonts w:hint="eastAsia"/>
          <w:sz w:val="21"/>
          <w:szCs w:val="21"/>
          <w:lang w:val="en-US" w:eastAsia="zh-CN"/>
        </w:rPr>
        <w:t>7.3</w:t>
      </w:r>
      <w:r>
        <w:rPr>
          <w:rFonts w:hint="eastAsia"/>
          <w:sz w:val="21"/>
          <w:szCs w:val="21"/>
          <w:lang w:eastAsia="zh-CN"/>
        </w:rPr>
        <w:t>.</w:t>
      </w:r>
      <w:r>
        <w:rPr>
          <w:rFonts w:hint="eastAsia"/>
          <w:sz w:val="21"/>
          <w:szCs w:val="21"/>
          <w:lang w:val="en-US" w:eastAsia="zh-CN"/>
        </w:rPr>
        <w:t>2</w:t>
      </w:r>
      <w:r>
        <w:rPr>
          <w:rFonts w:hint="eastAsia"/>
          <w:sz w:val="21"/>
          <w:szCs w:val="21"/>
          <w:lang w:eastAsia="zh-CN"/>
        </w:rPr>
        <w:t xml:space="preserve"> 基层医疗机构路径（普及型）：</w:t>
      </w:r>
    </w:p>
    <w:p>
      <w:pPr>
        <w:ind w:left="0" w:leftChars="0" w:firstLine="420" w:firstLineChars="200"/>
        <w:rPr>
          <w:rFonts w:hint="eastAsia"/>
          <w:sz w:val="21"/>
          <w:szCs w:val="21"/>
          <w:lang w:eastAsia="zh-CN"/>
        </w:rPr>
      </w:pPr>
      <w:r>
        <w:rPr>
          <w:rFonts w:hint="eastAsia"/>
          <w:sz w:val="21"/>
          <w:szCs w:val="21"/>
          <w:lang w:eastAsia="zh-CN"/>
        </w:rPr>
        <w:t>设备配置：以普及型智能血糖仪、常规血压计及健康一体机为主，数据通过蓝牙、4G/5G或微生态无缝对接数字健康管理平台；在CGM等高端设备普及率较低的地区，支持患者采用手持式血糖仪定期监测，并由平台或医务人员辅助录入。</w:t>
      </w:r>
    </w:p>
    <w:p>
      <w:pPr>
        <w:ind w:left="0" w:leftChars="0" w:firstLine="420" w:firstLineChars="200"/>
        <w:rPr>
          <w:rFonts w:hint="eastAsia"/>
          <w:sz w:val="21"/>
          <w:szCs w:val="21"/>
          <w:lang w:eastAsia="zh-CN"/>
        </w:rPr>
      </w:pPr>
      <w:r>
        <w:rPr>
          <w:rFonts w:hint="eastAsia"/>
          <w:sz w:val="21"/>
          <w:szCs w:val="21"/>
          <w:lang w:eastAsia="zh-CN"/>
        </w:rPr>
        <w:t>智能应用：优先落地科普宣教、用药提醒、定期随访、血糖异常自动预警等高频基础服务模块。复杂AI模型（如并发症预测）可依托区域医联体或上级医院的数字健康管理平台，通过“基层采集、上级分析、结果下发”的远程协同模式实施。</w:t>
      </w:r>
    </w:p>
    <w:p>
      <w:pPr>
        <w:ind w:left="0" w:leftChars="0" w:firstLine="420" w:firstLineChars="200"/>
        <w:rPr>
          <w:rFonts w:hint="eastAsia"/>
          <w:sz w:val="21"/>
          <w:szCs w:val="21"/>
          <w:lang w:eastAsia="zh-CN"/>
        </w:rPr>
      </w:pPr>
      <w:r>
        <w:rPr>
          <w:rFonts w:hint="eastAsia"/>
          <w:sz w:val="21"/>
          <w:szCs w:val="21"/>
          <w:lang w:eastAsia="zh-CN"/>
        </w:rPr>
        <w:t>推广与运营：通过“家医签约”服务包将数字健康管理纳入基层基本公共卫生服务范畴，降低数字技术的使用门槛，确保标准在基层的可复制性与可持续性。</w:t>
      </w:r>
    </w:p>
    <w:p>
      <w:pPr>
        <w:pStyle w:val="15"/>
        <w:bidi w:val="0"/>
        <w:rPr>
          <w:rFonts w:hint="eastAsia"/>
        </w:rPr>
      </w:pPr>
      <w:r>
        <w:rPr>
          <w:rFonts w:hint="eastAsia"/>
        </w:rPr>
        <w:t>网络安全</w:t>
      </w:r>
    </w:p>
    <w:p>
      <w:pPr>
        <w:ind w:left="0" w:leftChars="0" w:firstLine="0" w:firstLineChars="0"/>
        <w:rPr>
          <w:rFonts w:hint="eastAsia"/>
          <w:sz w:val="21"/>
          <w:szCs w:val="21"/>
          <w:lang w:eastAsia="zh-CN"/>
        </w:rPr>
      </w:pPr>
      <w:r>
        <w:rPr>
          <w:rFonts w:hint="eastAsia"/>
          <w:sz w:val="21"/>
          <w:szCs w:val="21"/>
          <w:lang w:val="en-US" w:eastAsia="zh-CN"/>
        </w:rPr>
        <w:t>7</w:t>
      </w:r>
      <w:r>
        <w:rPr>
          <w:rFonts w:hint="eastAsia"/>
          <w:sz w:val="21"/>
          <w:szCs w:val="21"/>
        </w:rPr>
        <w:t>.4.1 网络环境：服务提供方应具备稳定、安全的网络环境，网络带宽满足数据传输和平台运行需求，支持5G、物联网等技术接入</w:t>
      </w:r>
      <w:r>
        <w:rPr>
          <w:rFonts w:hint="eastAsia"/>
          <w:sz w:val="21"/>
          <w:szCs w:val="21"/>
          <w:lang w:eastAsia="zh-CN"/>
        </w:rPr>
        <w:t>。</w:t>
      </w:r>
    </w:p>
    <w:p>
      <w:pPr>
        <w:ind w:left="0" w:leftChars="0" w:firstLine="0" w:firstLineChars="0"/>
        <w:rPr>
          <w:rFonts w:hint="eastAsia"/>
          <w:sz w:val="21"/>
          <w:szCs w:val="21"/>
          <w:lang w:eastAsia="zh-CN"/>
        </w:rPr>
      </w:pPr>
      <w:r>
        <w:rPr>
          <w:rFonts w:hint="eastAsia"/>
          <w:sz w:val="21"/>
          <w:szCs w:val="21"/>
          <w:lang w:val="en-US" w:eastAsia="zh-CN"/>
        </w:rPr>
        <w:t>7</w:t>
      </w:r>
      <w:r>
        <w:rPr>
          <w:rFonts w:hint="eastAsia"/>
          <w:sz w:val="21"/>
          <w:szCs w:val="21"/>
        </w:rPr>
        <w:t>.4.2 数据传输：数据传输过程采用加密技术（如SSL/TLS），确保数据传输安全，防止数据被窃取或篡改</w:t>
      </w:r>
      <w:r>
        <w:rPr>
          <w:rFonts w:hint="eastAsia"/>
          <w:sz w:val="21"/>
          <w:szCs w:val="21"/>
          <w:lang w:eastAsia="zh-CN"/>
        </w:rPr>
        <w:t>。</w:t>
      </w:r>
    </w:p>
    <w:p>
      <w:pPr>
        <w:ind w:left="0" w:leftChars="0" w:firstLine="0" w:firstLineChars="0"/>
        <w:rPr>
          <w:rFonts w:hint="eastAsia"/>
          <w:sz w:val="21"/>
          <w:szCs w:val="21"/>
        </w:rPr>
      </w:pPr>
      <w:r>
        <w:rPr>
          <w:rFonts w:hint="eastAsia"/>
          <w:sz w:val="21"/>
          <w:szCs w:val="21"/>
          <w:lang w:val="en-US" w:eastAsia="zh-CN"/>
        </w:rPr>
        <w:t>7</w:t>
      </w:r>
      <w:r>
        <w:rPr>
          <w:rFonts w:hint="eastAsia"/>
          <w:sz w:val="21"/>
          <w:szCs w:val="21"/>
        </w:rPr>
        <w:t>.4.3 安全审计：建立网络安全审计机制，对平台操作、数据访问、设备接入等行为进行全程记录，审计日志保存时间≥6个月。</w:t>
      </w:r>
    </w:p>
    <w:p>
      <w:pPr>
        <w:pStyle w:val="19"/>
        <w:bidi w:val="0"/>
        <w:rPr>
          <w:rFonts w:hint="eastAsia"/>
        </w:rPr>
      </w:pPr>
      <w:bookmarkStart w:id="27" w:name="_Toc14603"/>
      <w:r>
        <w:rPr>
          <w:rFonts w:hint="eastAsia"/>
        </w:rPr>
        <w:t>服务质量控制</w:t>
      </w:r>
      <w:bookmarkEnd w:id="27"/>
    </w:p>
    <w:p>
      <w:pPr>
        <w:pStyle w:val="15"/>
        <w:bidi w:val="0"/>
        <w:rPr>
          <w:rFonts w:hint="eastAsia"/>
        </w:rPr>
      </w:pPr>
      <w:r>
        <w:rPr>
          <w:rFonts w:hint="eastAsia"/>
        </w:rPr>
        <w:t>质量控制内容</w:t>
      </w:r>
    </w:p>
    <w:p>
      <w:pPr>
        <w:ind w:left="0" w:leftChars="0" w:firstLine="0" w:firstLineChars="0"/>
        <w:rPr>
          <w:rFonts w:hint="eastAsia"/>
          <w:sz w:val="21"/>
          <w:szCs w:val="21"/>
        </w:rPr>
      </w:pPr>
      <w:r>
        <w:rPr>
          <w:rFonts w:hint="eastAsia"/>
          <w:sz w:val="21"/>
          <w:szCs w:val="21"/>
          <w:lang w:val="en-US" w:eastAsia="zh-CN"/>
        </w:rPr>
        <w:t>8.1</w:t>
      </w:r>
      <w:r>
        <w:rPr>
          <w:rFonts w:hint="eastAsia"/>
          <w:sz w:val="21"/>
          <w:szCs w:val="21"/>
        </w:rPr>
        <w:t>.1 数据质量控制</w:t>
      </w:r>
    </w:p>
    <w:p>
      <w:pPr>
        <w:ind w:left="0" w:leftChars="0" w:firstLine="0" w:firstLineChars="0"/>
        <w:rPr>
          <w:rFonts w:hint="eastAsia"/>
          <w:sz w:val="21"/>
          <w:szCs w:val="21"/>
          <w:lang w:eastAsia="zh-CN"/>
        </w:rPr>
      </w:pPr>
      <w:r>
        <w:rPr>
          <w:rFonts w:hint="eastAsia"/>
          <w:sz w:val="21"/>
          <w:szCs w:val="21"/>
          <w:lang w:val="en-US" w:eastAsia="zh-CN"/>
        </w:rPr>
        <w:t>8.1</w:t>
      </w:r>
      <w:r>
        <w:rPr>
          <w:rFonts w:hint="eastAsia"/>
          <w:sz w:val="21"/>
          <w:szCs w:val="21"/>
        </w:rPr>
        <w:t>.1.1 建立数据质量核查机制，定期检查数据的真实性、完整性、一致性、规范性</w:t>
      </w:r>
      <w:r>
        <w:rPr>
          <w:rFonts w:hint="eastAsia"/>
          <w:sz w:val="21"/>
          <w:szCs w:val="21"/>
          <w:lang w:eastAsia="zh-CN"/>
        </w:rPr>
        <w:t>。</w:t>
      </w:r>
    </w:p>
    <w:p>
      <w:pPr>
        <w:ind w:left="0" w:leftChars="0" w:firstLine="0" w:firstLineChars="0"/>
        <w:rPr>
          <w:rFonts w:hint="eastAsia"/>
          <w:sz w:val="21"/>
          <w:szCs w:val="21"/>
        </w:rPr>
      </w:pPr>
      <w:r>
        <w:rPr>
          <w:rFonts w:hint="eastAsia"/>
          <w:sz w:val="21"/>
          <w:szCs w:val="21"/>
          <w:lang w:val="en-US" w:eastAsia="zh-CN"/>
        </w:rPr>
        <w:t>8.1</w:t>
      </w:r>
      <w:r>
        <w:rPr>
          <w:rFonts w:hint="eastAsia"/>
          <w:sz w:val="21"/>
          <w:szCs w:val="21"/>
        </w:rPr>
        <w:t>.1.2 对不合格数据进行追溯和修正，明确数据采集、录入、审核等环节的责任主体，建立数据质量责任追究机制。</w:t>
      </w:r>
    </w:p>
    <w:p>
      <w:pPr>
        <w:ind w:left="0" w:leftChars="0" w:firstLine="0" w:firstLineChars="0"/>
        <w:rPr>
          <w:rFonts w:hint="eastAsia"/>
          <w:sz w:val="21"/>
          <w:szCs w:val="21"/>
        </w:rPr>
      </w:pPr>
      <w:r>
        <w:rPr>
          <w:rFonts w:hint="eastAsia"/>
          <w:sz w:val="21"/>
          <w:szCs w:val="21"/>
          <w:lang w:val="en-US" w:eastAsia="zh-CN"/>
        </w:rPr>
        <w:t>8.1.2</w:t>
      </w:r>
      <w:r>
        <w:rPr>
          <w:rFonts w:hint="eastAsia"/>
          <w:sz w:val="21"/>
          <w:szCs w:val="21"/>
        </w:rPr>
        <w:t xml:space="preserve"> 服务效果控制</w:t>
      </w:r>
    </w:p>
    <w:p>
      <w:pPr>
        <w:ind w:left="0" w:leftChars="0" w:firstLine="0" w:firstLineChars="0"/>
        <w:rPr>
          <w:rFonts w:hint="eastAsia"/>
          <w:sz w:val="21"/>
          <w:szCs w:val="21"/>
          <w:lang w:eastAsia="zh-CN"/>
        </w:rPr>
      </w:pPr>
      <w:r>
        <w:rPr>
          <w:rFonts w:hint="eastAsia"/>
          <w:sz w:val="21"/>
          <w:szCs w:val="21"/>
          <w:lang w:val="en-US" w:eastAsia="zh-CN"/>
        </w:rPr>
        <w:t>8.1.2</w:t>
      </w:r>
      <w:r>
        <w:rPr>
          <w:rFonts w:hint="eastAsia"/>
          <w:sz w:val="21"/>
          <w:szCs w:val="21"/>
        </w:rPr>
        <w:t>.1 建立效果评价指标体系，包括临床效果指标、依从性指标、服务质量指标等，具体指标见附录 B</w:t>
      </w:r>
      <w:r>
        <w:rPr>
          <w:rFonts w:hint="eastAsia"/>
          <w:sz w:val="21"/>
          <w:szCs w:val="21"/>
          <w:lang w:eastAsia="zh-CN"/>
        </w:rPr>
        <w:t>。</w:t>
      </w:r>
    </w:p>
    <w:p>
      <w:pPr>
        <w:ind w:left="0" w:leftChars="0" w:firstLine="0" w:firstLineChars="0"/>
        <w:rPr>
          <w:rFonts w:hint="eastAsia"/>
          <w:sz w:val="21"/>
          <w:szCs w:val="21"/>
        </w:rPr>
      </w:pPr>
      <w:r>
        <w:rPr>
          <w:rFonts w:hint="eastAsia"/>
          <w:sz w:val="21"/>
          <w:szCs w:val="21"/>
          <w:lang w:val="en-US" w:eastAsia="zh-CN"/>
        </w:rPr>
        <w:t>8.1.2</w:t>
      </w:r>
      <w:r>
        <w:rPr>
          <w:rFonts w:hint="eastAsia"/>
          <w:sz w:val="21"/>
          <w:szCs w:val="21"/>
        </w:rPr>
        <w:t>.</w:t>
      </w:r>
      <w:r>
        <w:rPr>
          <w:rFonts w:hint="eastAsia"/>
          <w:sz w:val="21"/>
          <w:szCs w:val="21"/>
          <w:lang w:val="en-US" w:eastAsia="zh-CN"/>
        </w:rPr>
        <w:t>2</w:t>
      </w:r>
      <w:r>
        <w:rPr>
          <w:rFonts w:hint="eastAsia"/>
          <w:sz w:val="21"/>
          <w:szCs w:val="21"/>
        </w:rPr>
        <w:t>针对评价中发现的问题，制定整改措施，优化服务内容和流程，形成质量改进闭环。</w:t>
      </w:r>
    </w:p>
    <w:p>
      <w:pPr>
        <w:ind w:left="0" w:leftChars="0" w:firstLine="0" w:firstLineChars="0"/>
        <w:rPr>
          <w:rFonts w:hint="eastAsia"/>
          <w:sz w:val="21"/>
          <w:szCs w:val="21"/>
        </w:rPr>
      </w:pPr>
      <w:r>
        <w:rPr>
          <w:rFonts w:hint="eastAsia"/>
          <w:sz w:val="21"/>
          <w:szCs w:val="21"/>
          <w:lang w:val="en-US" w:eastAsia="zh-CN"/>
        </w:rPr>
        <w:t>8.1.3</w:t>
      </w:r>
      <w:r>
        <w:rPr>
          <w:rFonts w:hint="eastAsia"/>
          <w:sz w:val="21"/>
          <w:szCs w:val="21"/>
        </w:rPr>
        <w:t xml:space="preserve"> 患者满意度控制</w:t>
      </w:r>
    </w:p>
    <w:p>
      <w:pPr>
        <w:ind w:left="0" w:leftChars="0" w:firstLine="0" w:firstLineChars="0"/>
        <w:rPr>
          <w:rFonts w:hint="eastAsia"/>
          <w:sz w:val="21"/>
          <w:szCs w:val="21"/>
          <w:lang w:eastAsia="zh-CN"/>
        </w:rPr>
      </w:pPr>
      <w:r>
        <w:rPr>
          <w:rFonts w:hint="eastAsia"/>
          <w:sz w:val="21"/>
          <w:szCs w:val="21"/>
          <w:lang w:val="en-US" w:eastAsia="zh-CN"/>
        </w:rPr>
        <w:t>8.1.3.1</w:t>
      </w:r>
      <w:r>
        <w:rPr>
          <w:rFonts w:hint="eastAsia"/>
          <w:sz w:val="21"/>
          <w:szCs w:val="21"/>
        </w:rPr>
        <w:t xml:space="preserve"> 患者满意度应≥85%，对满意度较低的维度进行专项分析和改进</w:t>
      </w:r>
      <w:r>
        <w:rPr>
          <w:rFonts w:hint="eastAsia"/>
          <w:sz w:val="21"/>
          <w:szCs w:val="21"/>
          <w:lang w:eastAsia="zh-CN"/>
        </w:rPr>
        <w:t>。</w:t>
      </w:r>
    </w:p>
    <w:p>
      <w:pPr>
        <w:ind w:left="0" w:leftChars="0" w:firstLine="0" w:firstLineChars="0"/>
        <w:rPr>
          <w:rFonts w:hint="eastAsia"/>
          <w:sz w:val="21"/>
          <w:szCs w:val="21"/>
        </w:rPr>
      </w:pPr>
      <w:r>
        <w:rPr>
          <w:rFonts w:hint="eastAsia"/>
          <w:sz w:val="21"/>
          <w:szCs w:val="21"/>
          <w:lang w:val="en-US" w:eastAsia="zh-CN"/>
        </w:rPr>
        <w:t>8.1.3</w:t>
      </w:r>
      <w:r>
        <w:rPr>
          <w:rFonts w:hint="eastAsia"/>
          <w:sz w:val="21"/>
          <w:szCs w:val="21"/>
        </w:rPr>
        <w:t>.</w:t>
      </w:r>
      <w:r>
        <w:rPr>
          <w:rFonts w:hint="eastAsia"/>
          <w:sz w:val="21"/>
          <w:szCs w:val="21"/>
          <w:lang w:val="en-US" w:eastAsia="zh-CN"/>
        </w:rPr>
        <w:t>2</w:t>
      </w:r>
      <w:r>
        <w:rPr>
          <w:rFonts w:hint="eastAsia"/>
          <w:sz w:val="21"/>
          <w:szCs w:val="21"/>
        </w:rPr>
        <w:t xml:space="preserve"> 建立患者反馈机制，通过平台设置意见反馈通道，及时响应和处理患者投诉和建议。</w:t>
      </w:r>
    </w:p>
    <w:p>
      <w:pPr>
        <w:ind w:left="0" w:leftChars="0" w:firstLine="0" w:firstLineChars="0"/>
        <w:rPr>
          <w:rFonts w:hint="eastAsia"/>
          <w:sz w:val="21"/>
          <w:szCs w:val="21"/>
        </w:rPr>
      </w:pPr>
      <w:r>
        <w:rPr>
          <w:rFonts w:hint="eastAsia"/>
          <w:sz w:val="21"/>
          <w:szCs w:val="21"/>
          <w:lang w:val="en-US" w:eastAsia="zh-CN"/>
        </w:rPr>
        <w:t>8.1.4</w:t>
      </w:r>
      <w:r>
        <w:rPr>
          <w:rFonts w:hint="eastAsia"/>
          <w:sz w:val="21"/>
          <w:szCs w:val="21"/>
        </w:rPr>
        <w:t xml:space="preserve"> 经济学效益评价</w:t>
      </w:r>
    </w:p>
    <w:p>
      <w:pPr>
        <w:ind w:left="0" w:leftChars="0" w:firstLine="0" w:firstLineChars="0"/>
        <w:rPr>
          <w:rFonts w:hint="eastAsia"/>
          <w:sz w:val="21"/>
          <w:szCs w:val="21"/>
        </w:rPr>
      </w:pPr>
      <w:r>
        <w:rPr>
          <w:rFonts w:hint="eastAsia"/>
          <w:sz w:val="21"/>
          <w:szCs w:val="21"/>
          <w:lang w:val="en-US" w:eastAsia="zh-CN"/>
        </w:rPr>
        <w:t>8.1.4.1</w:t>
      </w:r>
      <w:r>
        <w:rPr>
          <w:rFonts w:hint="eastAsia"/>
          <w:sz w:val="21"/>
          <w:szCs w:val="21"/>
        </w:rPr>
        <w:t>建立健全糖尿病全周期数字健康管理的卫生经济学评价机制。定期收集并分析患者的管理成本、医疗费用等数据，综合评估数字健康管理服务的长期经济学价值，为医保支付政策创新与机构运营决策提供数据支撑。</w:t>
      </w:r>
    </w:p>
    <w:p>
      <w:pPr>
        <w:pStyle w:val="15"/>
        <w:bidi w:val="0"/>
        <w:rPr>
          <w:rFonts w:hint="eastAsia"/>
        </w:rPr>
      </w:pPr>
      <w:r>
        <w:rPr>
          <w:rFonts w:hint="eastAsia"/>
        </w:rPr>
        <w:t>质量控制措施</w:t>
      </w:r>
    </w:p>
    <w:p>
      <w:pPr>
        <w:ind w:left="0" w:leftChars="0" w:firstLine="0" w:firstLineChars="0"/>
        <w:rPr>
          <w:rFonts w:hint="eastAsia"/>
          <w:sz w:val="21"/>
          <w:szCs w:val="21"/>
          <w:lang w:eastAsia="zh-CN"/>
        </w:rPr>
      </w:pPr>
      <w:r>
        <w:rPr>
          <w:rFonts w:hint="eastAsia"/>
          <w:sz w:val="21"/>
          <w:szCs w:val="21"/>
          <w:lang w:val="en-US" w:eastAsia="zh-CN"/>
        </w:rPr>
        <w:t>8.2.1</w:t>
      </w:r>
      <w:r>
        <w:rPr>
          <w:rFonts w:hint="eastAsia"/>
          <w:sz w:val="21"/>
          <w:szCs w:val="21"/>
        </w:rPr>
        <w:t xml:space="preserve"> 成立质量控制小组：由临床专家、健康管理师、技术人员组成，负责质量控制方案制定、实施和监督</w:t>
      </w:r>
      <w:r>
        <w:rPr>
          <w:rFonts w:hint="eastAsia"/>
          <w:sz w:val="21"/>
          <w:szCs w:val="21"/>
          <w:lang w:eastAsia="zh-CN"/>
        </w:rPr>
        <w:t>。</w:t>
      </w:r>
    </w:p>
    <w:p>
      <w:pPr>
        <w:ind w:left="0" w:leftChars="0" w:firstLine="0" w:firstLineChars="0"/>
        <w:rPr>
          <w:rFonts w:hint="eastAsia"/>
          <w:sz w:val="21"/>
          <w:szCs w:val="21"/>
          <w:lang w:eastAsia="zh-CN"/>
        </w:rPr>
      </w:pPr>
      <w:r>
        <w:rPr>
          <w:rFonts w:hint="eastAsia"/>
          <w:sz w:val="21"/>
          <w:szCs w:val="21"/>
          <w:lang w:val="en-US" w:eastAsia="zh-CN"/>
        </w:rPr>
        <w:t>8.2</w:t>
      </w:r>
      <w:r>
        <w:rPr>
          <w:rFonts w:hint="eastAsia"/>
          <w:sz w:val="21"/>
          <w:szCs w:val="21"/>
        </w:rPr>
        <w:t>.2 定期质量检查：每</w:t>
      </w:r>
      <w:r>
        <w:rPr>
          <w:rFonts w:hint="eastAsia"/>
          <w:sz w:val="21"/>
          <w:szCs w:val="21"/>
          <w:lang w:val="en-US" w:eastAsia="zh-CN"/>
        </w:rPr>
        <w:t>季度</w:t>
      </w:r>
      <w:r>
        <w:rPr>
          <w:rFonts w:hint="eastAsia"/>
          <w:sz w:val="21"/>
          <w:szCs w:val="21"/>
        </w:rPr>
        <w:t>开展一次常规质量检查，每年开展一次全面质量检查，形成质量检查报告</w:t>
      </w:r>
      <w:r>
        <w:rPr>
          <w:rFonts w:hint="eastAsia"/>
          <w:sz w:val="21"/>
          <w:szCs w:val="21"/>
          <w:lang w:eastAsia="zh-CN"/>
        </w:rPr>
        <w:t>。</w:t>
      </w:r>
    </w:p>
    <w:p>
      <w:pPr>
        <w:ind w:left="0" w:leftChars="0" w:firstLine="0" w:firstLineChars="0"/>
        <w:rPr>
          <w:rFonts w:hint="eastAsia"/>
          <w:sz w:val="21"/>
          <w:szCs w:val="21"/>
        </w:rPr>
      </w:pPr>
      <w:r>
        <w:rPr>
          <w:rFonts w:hint="eastAsia"/>
          <w:sz w:val="21"/>
          <w:szCs w:val="21"/>
          <w:lang w:val="en-US" w:eastAsia="zh-CN"/>
        </w:rPr>
        <w:t>8.2.3</w:t>
      </w:r>
      <w:r>
        <w:rPr>
          <w:rFonts w:hint="eastAsia"/>
          <w:sz w:val="21"/>
          <w:szCs w:val="21"/>
        </w:rPr>
        <w:t xml:space="preserve"> 质量控制档案：建立完整的质量控制档案，记录质量检查结果、整改措施、改进效果等，档案保存时间≥</w:t>
      </w:r>
      <w:r>
        <w:rPr>
          <w:rFonts w:hint="eastAsia"/>
          <w:sz w:val="21"/>
          <w:szCs w:val="21"/>
          <w:lang w:val="en-US" w:eastAsia="zh-CN"/>
        </w:rPr>
        <w:t>1</w:t>
      </w:r>
      <w:r>
        <w:rPr>
          <w:rFonts w:hint="eastAsia"/>
          <w:sz w:val="21"/>
          <w:szCs w:val="21"/>
        </w:rPr>
        <w:t xml:space="preserve"> 年。</w:t>
      </w:r>
    </w:p>
    <w:p>
      <w:pPr>
        <w:pStyle w:val="19"/>
        <w:bidi w:val="0"/>
        <w:rPr>
          <w:rFonts w:hint="eastAsia"/>
        </w:rPr>
      </w:pPr>
      <w:bookmarkStart w:id="28" w:name="_Toc7542"/>
      <w:r>
        <w:rPr>
          <w:rFonts w:hint="eastAsia"/>
        </w:rPr>
        <w:t>人员资质与能力要求</w:t>
      </w:r>
      <w:bookmarkEnd w:id="28"/>
    </w:p>
    <w:p>
      <w:pPr>
        <w:pStyle w:val="15"/>
        <w:bidi w:val="0"/>
        <w:rPr>
          <w:rFonts w:hint="eastAsia"/>
        </w:rPr>
      </w:pPr>
      <w:r>
        <w:rPr>
          <w:rFonts w:hint="eastAsia"/>
        </w:rPr>
        <w:t>人员构成</w:t>
      </w:r>
    </w:p>
    <w:p>
      <w:pPr>
        <w:rPr>
          <w:rFonts w:hint="eastAsia"/>
          <w:sz w:val="21"/>
          <w:szCs w:val="21"/>
        </w:rPr>
      </w:pPr>
      <w:r>
        <w:rPr>
          <w:rFonts w:hint="eastAsia"/>
          <w:sz w:val="21"/>
          <w:szCs w:val="21"/>
        </w:rPr>
        <w:t>糖尿病全周期数字健康管理服务团队应包括临床医务人员、健康管理师、技术人员，各岗位人员协同配合，共同完成全周期管理服务。</w:t>
      </w:r>
    </w:p>
    <w:p>
      <w:pPr>
        <w:pStyle w:val="15"/>
        <w:bidi w:val="0"/>
        <w:rPr>
          <w:rFonts w:hint="eastAsia"/>
        </w:rPr>
      </w:pPr>
      <w:r>
        <w:rPr>
          <w:rFonts w:hint="eastAsia"/>
        </w:rPr>
        <w:t>临床医务人员</w:t>
      </w:r>
    </w:p>
    <w:p>
      <w:pPr>
        <w:ind w:left="0" w:leftChars="0" w:firstLine="0" w:firstLineChars="0"/>
        <w:rPr>
          <w:rFonts w:hint="eastAsia"/>
          <w:sz w:val="21"/>
          <w:szCs w:val="21"/>
        </w:rPr>
      </w:pPr>
      <w:r>
        <w:rPr>
          <w:rFonts w:hint="eastAsia"/>
          <w:sz w:val="21"/>
          <w:szCs w:val="21"/>
        </w:rPr>
        <w:t>10.2.1 资质要求</w:t>
      </w:r>
    </w:p>
    <w:p>
      <w:pPr>
        <w:rPr>
          <w:rFonts w:hint="eastAsia"/>
          <w:sz w:val="21"/>
          <w:szCs w:val="21"/>
        </w:rPr>
      </w:pPr>
      <w:r>
        <w:rPr>
          <w:rFonts w:hint="eastAsia"/>
          <w:sz w:val="21"/>
          <w:szCs w:val="21"/>
        </w:rPr>
        <w:t>应具备执业医师或执业护士资质，其中内分泌科医师应具备中级及以上职称，具备糖尿病临床诊疗经验。</w:t>
      </w:r>
    </w:p>
    <w:p>
      <w:pPr>
        <w:ind w:left="0" w:leftChars="0" w:firstLine="0" w:firstLineChars="0"/>
        <w:rPr>
          <w:rFonts w:hint="eastAsia"/>
          <w:sz w:val="21"/>
          <w:szCs w:val="21"/>
        </w:rPr>
      </w:pPr>
      <w:r>
        <w:rPr>
          <w:rFonts w:hint="eastAsia"/>
          <w:sz w:val="21"/>
          <w:szCs w:val="21"/>
        </w:rPr>
        <w:t>10.2.2 能力要求</w:t>
      </w:r>
    </w:p>
    <w:p>
      <w:pPr>
        <w:ind w:left="0" w:leftChars="0" w:firstLine="0" w:firstLineChars="0"/>
        <w:rPr>
          <w:rFonts w:hint="eastAsia"/>
          <w:sz w:val="21"/>
          <w:szCs w:val="21"/>
          <w:lang w:eastAsia="zh-CN"/>
        </w:rPr>
      </w:pPr>
      <w:r>
        <w:rPr>
          <w:rFonts w:hint="eastAsia"/>
          <w:sz w:val="21"/>
          <w:szCs w:val="21"/>
        </w:rPr>
        <w:t>10.2.2.1 熟练掌握糖尿病临床指南、诊疗规范和并发症防治知识，能够独立制定和调整治疗方案</w:t>
      </w:r>
      <w:r>
        <w:rPr>
          <w:rFonts w:hint="eastAsia"/>
          <w:sz w:val="21"/>
          <w:szCs w:val="21"/>
          <w:lang w:eastAsia="zh-CN"/>
        </w:rPr>
        <w:t>。</w:t>
      </w:r>
    </w:p>
    <w:p>
      <w:pPr>
        <w:ind w:left="0" w:leftChars="0" w:firstLine="0" w:firstLineChars="0"/>
        <w:rPr>
          <w:rFonts w:hint="eastAsia"/>
          <w:sz w:val="21"/>
          <w:szCs w:val="21"/>
          <w:lang w:eastAsia="zh-CN"/>
        </w:rPr>
      </w:pPr>
      <w:r>
        <w:rPr>
          <w:rFonts w:hint="eastAsia"/>
          <w:sz w:val="21"/>
          <w:szCs w:val="21"/>
        </w:rPr>
        <w:t>10.2.2.2 熟悉数字健康管理平台操作流程，能够运用平台开展数据查看、方案制定、在线咨询等服务</w:t>
      </w:r>
      <w:r>
        <w:rPr>
          <w:rFonts w:hint="eastAsia"/>
          <w:sz w:val="21"/>
          <w:szCs w:val="21"/>
          <w:lang w:eastAsia="zh-CN"/>
        </w:rPr>
        <w:t>。</w:t>
      </w:r>
    </w:p>
    <w:p>
      <w:pPr>
        <w:ind w:left="0" w:leftChars="0" w:firstLine="0" w:firstLineChars="0"/>
        <w:rPr>
          <w:rFonts w:hint="eastAsia"/>
          <w:sz w:val="21"/>
          <w:szCs w:val="21"/>
        </w:rPr>
      </w:pPr>
      <w:r>
        <w:rPr>
          <w:rFonts w:hint="eastAsia"/>
          <w:sz w:val="21"/>
          <w:szCs w:val="21"/>
        </w:rPr>
        <w:t>10.2.2.3 具备良好的沟通能力和患者教育能力，能够向患者清晰解读诊疗方案和管理要求</w:t>
      </w:r>
      <w:r>
        <w:rPr>
          <w:rFonts w:hint="eastAsia"/>
          <w:sz w:val="21"/>
          <w:szCs w:val="21"/>
          <w:lang w:eastAsia="zh-CN"/>
        </w:rPr>
        <w:t>。</w:t>
      </w:r>
    </w:p>
    <w:p>
      <w:pPr>
        <w:pStyle w:val="15"/>
        <w:bidi w:val="0"/>
        <w:rPr>
          <w:rFonts w:hint="eastAsia"/>
        </w:rPr>
      </w:pPr>
      <w:r>
        <w:rPr>
          <w:rFonts w:hint="eastAsia"/>
        </w:rPr>
        <w:t>健康管理师</w:t>
      </w:r>
    </w:p>
    <w:p>
      <w:pPr>
        <w:ind w:left="0" w:leftChars="0" w:firstLine="0" w:firstLineChars="0"/>
        <w:rPr>
          <w:rFonts w:hint="eastAsia"/>
          <w:sz w:val="21"/>
          <w:szCs w:val="21"/>
        </w:rPr>
      </w:pPr>
      <w:r>
        <w:rPr>
          <w:rFonts w:hint="eastAsia"/>
          <w:sz w:val="21"/>
          <w:szCs w:val="21"/>
        </w:rPr>
        <w:t>10.3.1 资质要求</w:t>
      </w:r>
    </w:p>
    <w:p>
      <w:pPr>
        <w:rPr>
          <w:rFonts w:hint="eastAsia"/>
          <w:sz w:val="21"/>
          <w:szCs w:val="21"/>
        </w:rPr>
      </w:pPr>
      <w:r>
        <w:rPr>
          <w:rFonts w:hint="eastAsia"/>
          <w:sz w:val="21"/>
          <w:szCs w:val="21"/>
        </w:rPr>
        <w:t>应具备国家健康管理师职业资格证书或相关专业（公共卫生、护理学、营养学等）</w:t>
      </w:r>
      <w:r>
        <w:rPr>
          <w:rFonts w:hint="eastAsia"/>
          <w:sz w:val="21"/>
          <w:szCs w:val="21"/>
          <w:lang w:val="en-US" w:eastAsia="zh-CN"/>
        </w:rPr>
        <w:t>教育经历</w:t>
      </w:r>
      <w:r>
        <w:rPr>
          <w:rFonts w:hint="eastAsia"/>
          <w:sz w:val="21"/>
          <w:szCs w:val="21"/>
        </w:rPr>
        <w:t>。</w:t>
      </w:r>
    </w:p>
    <w:p>
      <w:pPr>
        <w:ind w:left="0" w:leftChars="0" w:firstLine="0" w:firstLineChars="0"/>
        <w:rPr>
          <w:rFonts w:hint="eastAsia"/>
          <w:sz w:val="21"/>
          <w:szCs w:val="21"/>
        </w:rPr>
      </w:pPr>
      <w:r>
        <w:rPr>
          <w:rFonts w:hint="eastAsia"/>
          <w:sz w:val="21"/>
          <w:szCs w:val="21"/>
        </w:rPr>
        <w:t>10.3.2 能力要求</w:t>
      </w:r>
    </w:p>
    <w:p>
      <w:pPr>
        <w:ind w:left="0" w:leftChars="0" w:firstLine="0" w:firstLineChars="0"/>
        <w:rPr>
          <w:rFonts w:hint="eastAsia"/>
          <w:sz w:val="21"/>
          <w:szCs w:val="21"/>
          <w:lang w:eastAsia="zh-CN"/>
        </w:rPr>
      </w:pPr>
      <w:r>
        <w:rPr>
          <w:rFonts w:hint="eastAsia"/>
          <w:sz w:val="21"/>
          <w:szCs w:val="21"/>
        </w:rPr>
        <w:t>10.3.2.1 掌握糖尿病健康管理知识，包括饮食营养、运动指导、血糖监测、心理调节等内容</w:t>
      </w:r>
      <w:r>
        <w:rPr>
          <w:rFonts w:hint="eastAsia"/>
          <w:sz w:val="21"/>
          <w:szCs w:val="21"/>
          <w:lang w:eastAsia="zh-CN"/>
        </w:rPr>
        <w:t>。</w:t>
      </w:r>
      <w:r>
        <w:rPr>
          <w:rFonts w:hint="eastAsia"/>
          <w:sz w:val="21"/>
          <w:szCs w:val="21"/>
        </w:rPr>
        <w:t>10.3.2.2 熟练操作数字健康管理平台，能够协助医务人员开展患者随访、方案推送、数据录入等工作</w:t>
      </w:r>
      <w:r>
        <w:rPr>
          <w:rFonts w:hint="eastAsia"/>
          <w:sz w:val="21"/>
          <w:szCs w:val="21"/>
          <w:lang w:eastAsia="zh-CN"/>
        </w:rPr>
        <w:t>。</w:t>
      </w:r>
    </w:p>
    <w:p>
      <w:pPr>
        <w:ind w:left="0" w:leftChars="0" w:firstLine="0" w:firstLineChars="0"/>
        <w:rPr>
          <w:rFonts w:hint="eastAsia"/>
          <w:sz w:val="21"/>
          <w:szCs w:val="21"/>
        </w:rPr>
      </w:pPr>
      <w:r>
        <w:rPr>
          <w:rFonts w:hint="eastAsia"/>
          <w:sz w:val="21"/>
          <w:szCs w:val="21"/>
        </w:rPr>
        <w:t>10.3.2.3 具备良好的沟通协调能力和服务意识，能够及时响应患者需求，解答患者常见问题</w:t>
      </w:r>
      <w:r>
        <w:rPr>
          <w:rFonts w:hint="eastAsia"/>
          <w:sz w:val="21"/>
          <w:szCs w:val="21"/>
          <w:lang w:eastAsia="zh-CN"/>
        </w:rPr>
        <w:t>。</w:t>
      </w:r>
    </w:p>
    <w:p>
      <w:pPr>
        <w:pStyle w:val="15"/>
        <w:bidi w:val="0"/>
        <w:rPr>
          <w:rFonts w:hint="eastAsia"/>
        </w:rPr>
      </w:pPr>
      <w:r>
        <w:rPr>
          <w:rFonts w:hint="eastAsia"/>
        </w:rPr>
        <w:t>技术人员</w:t>
      </w:r>
    </w:p>
    <w:p>
      <w:pPr>
        <w:ind w:left="0" w:leftChars="0" w:firstLine="0" w:firstLineChars="0"/>
        <w:rPr>
          <w:rFonts w:hint="eastAsia"/>
          <w:sz w:val="21"/>
          <w:szCs w:val="21"/>
        </w:rPr>
      </w:pPr>
      <w:r>
        <w:rPr>
          <w:rFonts w:hint="eastAsia"/>
          <w:sz w:val="21"/>
          <w:szCs w:val="21"/>
        </w:rPr>
        <w:t>10.4.1 资质要求</w:t>
      </w:r>
    </w:p>
    <w:p>
      <w:pPr>
        <w:rPr>
          <w:rFonts w:hint="eastAsia"/>
          <w:sz w:val="21"/>
          <w:szCs w:val="21"/>
        </w:rPr>
      </w:pPr>
      <w:r>
        <w:rPr>
          <w:rFonts w:hint="eastAsia"/>
          <w:sz w:val="21"/>
          <w:szCs w:val="21"/>
        </w:rPr>
        <w:t>应具备计算机科学、软件工程、大数据、人工智能等相关专业</w:t>
      </w:r>
      <w:r>
        <w:rPr>
          <w:rFonts w:hint="eastAsia"/>
          <w:sz w:val="21"/>
          <w:szCs w:val="21"/>
          <w:lang w:val="en-US" w:eastAsia="zh-CN"/>
        </w:rPr>
        <w:t>教育经历</w:t>
      </w:r>
      <w:r>
        <w:rPr>
          <w:rFonts w:hint="eastAsia"/>
          <w:sz w:val="21"/>
          <w:szCs w:val="21"/>
        </w:rPr>
        <w:t>，或相关职业资格证</w:t>
      </w:r>
      <w:r>
        <w:rPr>
          <w:rFonts w:hint="eastAsia"/>
          <w:sz w:val="21"/>
          <w:szCs w:val="21"/>
          <w:lang w:val="en-US" w:eastAsia="zh-CN"/>
        </w:rPr>
        <w:t>书</w:t>
      </w:r>
      <w:r>
        <w:rPr>
          <w:rFonts w:hint="eastAsia"/>
          <w:sz w:val="21"/>
          <w:szCs w:val="21"/>
        </w:rPr>
        <w:t>。</w:t>
      </w:r>
    </w:p>
    <w:p>
      <w:pPr>
        <w:ind w:left="0" w:leftChars="0" w:firstLine="0" w:firstLineChars="0"/>
        <w:rPr>
          <w:rFonts w:hint="eastAsia"/>
          <w:sz w:val="21"/>
          <w:szCs w:val="21"/>
        </w:rPr>
      </w:pPr>
      <w:r>
        <w:rPr>
          <w:rFonts w:hint="eastAsia"/>
          <w:sz w:val="21"/>
          <w:szCs w:val="21"/>
        </w:rPr>
        <w:t>10.4.2 能力要求</w:t>
      </w:r>
    </w:p>
    <w:p>
      <w:pPr>
        <w:ind w:left="0" w:leftChars="0" w:firstLine="0" w:firstLineChars="0"/>
        <w:rPr>
          <w:rFonts w:hint="eastAsia"/>
          <w:sz w:val="21"/>
          <w:szCs w:val="21"/>
          <w:lang w:eastAsia="zh-CN"/>
        </w:rPr>
      </w:pPr>
      <w:r>
        <w:rPr>
          <w:rFonts w:hint="eastAsia"/>
          <w:sz w:val="21"/>
          <w:szCs w:val="21"/>
        </w:rPr>
        <w:t>10.4.2.1 掌握数字健康管理平台的架构设计、开发技术和运维方法，能够保障平台稳定运行</w:t>
      </w:r>
      <w:r>
        <w:rPr>
          <w:rFonts w:hint="eastAsia"/>
          <w:sz w:val="21"/>
          <w:szCs w:val="21"/>
          <w:lang w:eastAsia="zh-CN"/>
        </w:rPr>
        <w:t>。</w:t>
      </w:r>
      <w:r>
        <w:rPr>
          <w:rFonts w:hint="eastAsia"/>
          <w:sz w:val="21"/>
          <w:szCs w:val="21"/>
        </w:rPr>
        <w:t>10.4.2.2 熟悉医疗健康数据标准和规范，能够实现平台与其他医疗信息系统的数据对接</w:t>
      </w:r>
      <w:r>
        <w:rPr>
          <w:rFonts w:hint="eastAsia"/>
          <w:sz w:val="21"/>
          <w:szCs w:val="21"/>
          <w:lang w:eastAsia="zh-CN"/>
        </w:rPr>
        <w:t>。</w:t>
      </w:r>
      <w:r>
        <w:rPr>
          <w:rFonts w:hint="eastAsia"/>
          <w:sz w:val="21"/>
          <w:szCs w:val="21"/>
        </w:rPr>
        <w:t>10.4.2.3 掌握人工智能、大数据挖掘等核心技术，能够协助优化智能干预模型</w:t>
      </w:r>
      <w:r>
        <w:rPr>
          <w:rFonts w:hint="eastAsia"/>
          <w:sz w:val="21"/>
          <w:szCs w:val="21"/>
          <w:lang w:eastAsia="zh-CN"/>
        </w:rPr>
        <w:t>。</w:t>
      </w:r>
    </w:p>
    <w:p>
      <w:pPr>
        <w:ind w:left="0" w:leftChars="0" w:firstLine="0" w:firstLineChars="0"/>
        <w:rPr>
          <w:rFonts w:hint="eastAsia"/>
          <w:sz w:val="21"/>
          <w:szCs w:val="21"/>
        </w:rPr>
      </w:pPr>
      <w:r>
        <w:rPr>
          <w:rFonts w:hint="eastAsia"/>
          <w:sz w:val="21"/>
          <w:szCs w:val="21"/>
        </w:rPr>
        <w:t>10.4.2.4 具备网络安全和数据隐私保护意识，能够落实各项安全防护措施。</w:t>
      </w:r>
    </w:p>
    <w:p>
      <w:pPr>
        <w:pStyle w:val="16"/>
        <w:tabs>
          <w:tab w:val="center" w:pos="4201"/>
          <w:tab w:val="right" w:leader="dot" w:pos="9298"/>
        </w:tabs>
        <w:spacing w:line="360" w:lineRule="exact"/>
        <w:ind w:firstLine="420"/>
        <w:rPr>
          <w:rFonts w:ascii="Times New Roman"/>
          <w:color w:val="000000"/>
        </w:rPr>
      </w:pPr>
    </w:p>
    <w:p>
      <w:pPr>
        <w:pStyle w:val="16"/>
        <w:tabs>
          <w:tab w:val="center" w:pos="4201"/>
          <w:tab w:val="right" w:leader="dot" w:pos="9298"/>
        </w:tabs>
        <w:spacing w:line="360" w:lineRule="exact"/>
        <w:ind w:firstLine="420"/>
        <w:rPr>
          <w:rFonts w:ascii="Times New Roman"/>
          <w:color w:val="000000"/>
        </w:rPr>
      </w:pPr>
    </w:p>
    <w:p>
      <w:pPr>
        <w:pStyle w:val="16"/>
        <w:tabs>
          <w:tab w:val="center" w:pos="4201"/>
          <w:tab w:val="right" w:leader="dot" w:pos="9298"/>
        </w:tabs>
        <w:spacing w:line="360" w:lineRule="exact"/>
        <w:ind w:firstLine="420"/>
        <w:rPr>
          <w:rFonts w:ascii="Times New Roman"/>
          <w:color w:val="000000"/>
        </w:rPr>
      </w:pPr>
    </w:p>
    <w:bookmarkEnd w:id="16"/>
    <w:bookmarkEnd w:id="17"/>
    <w:p>
      <w:pPr>
        <w:rPr>
          <w:rFonts w:ascii="黑体" w:hAnsi="黑体" w:eastAsia="黑体" w:cs="Times New Roman"/>
          <w:kern w:val="0"/>
          <w:szCs w:val="21"/>
        </w:rPr>
      </w:pPr>
      <w:r>
        <w:rPr>
          <w:rFonts w:ascii="黑体" w:hAnsi="黑体" w:eastAsia="黑体" w:cs="Times New Roman"/>
          <w:kern w:val="0"/>
          <w:szCs w:val="21"/>
        </w:rPr>
        <w:br w:type="page"/>
      </w:r>
    </w:p>
    <w:p>
      <w:pPr>
        <w:pStyle w:val="16"/>
        <w:tabs>
          <w:tab w:val="left" w:pos="269"/>
          <w:tab w:val="right" w:leader="dot" w:pos="9298"/>
        </w:tabs>
        <w:spacing w:line="360" w:lineRule="exact"/>
        <w:ind w:firstLine="420"/>
        <w:rPr>
          <w:rFonts w:ascii="黑体" w:hAnsi="黑体" w:eastAsia="黑体" w:cs="Times New Roman"/>
          <w:kern w:val="0"/>
          <w:szCs w:val="21"/>
        </w:rPr>
      </w:pPr>
    </w:p>
    <w:p>
      <w:pPr>
        <w:pStyle w:val="18"/>
        <w:keepNext w:val="0"/>
        <w:keepLines w:val="0"/>
        <w:pageBreakBefore w:val="0"/>
        <w:widowControl/>
        <w:shd w:val="clear" w:color="FFFFFF" w:fill="FFFFFF"/>
        <w:kinsoku/>
        <w:wordWrap/>
        <w:overflowPunct/>
        <w:topLinePunct w:val="0"/>
        <w:autoSpaceDE/>
        <w:autoSpaceDN/>
        <w:bidi w:val="0"/>
        <w:adjustRightInd/>
        <w:snapToGrid/>
        <w:spacing w:before="0" w:after="120"/>
        <w:jc w:val="center"/>
        <w:textAlignment w:val="auto"/>
        <w:rPr>
          <w:rFonts w:hint="eastAsia"/>
          <w:b/>
          <w:bCs/>
        </w:rPr>
      </w:pPr>
      <w:bookmarkStart w:id="29" w:name="_Toc20213"/>
      <w:r>
        <w:rPr>
          <w:rFonts w:hint="eastAsia"/>
          <w:b/>
          <w:bCs/>
        </w:rPr>
        <w:t>附 录 A</w:t>
      </w:r>
      <w:bookmarkEnd w:id="29"/>
    </w:p>
    <w:p>
      <w:pPr>
        <w:jc w:val="center"/>
        <w:rPr>
          <w:rFonts w:ascii="黑体" w:hAnsi="黑体" w:eastAsia="黑体" w:cs="Times New Roman"/>
          <w:kern w:val="0"/>
          <w:szCs w:val="21"/>
        </w:rPr>
      </w:pPr>
      <w:r>
        <w:rPr>
          <w:rFonts w:hint="eastAsia" w:ascii="黑体" w:hAnsi="黑体" w:eastAsia="黑体" w:cs="Times New Roman"/>
          <w:kern w:val="0"/>
          <w:szCs w:val="21"/>
        </w:rPr>
        <w:t>（</w:t>
      </w:r>
      <w:bookmarkStart w:id="30" w:name="_Hlk92788726"/>
      <w:r>
        <w:rPr>
          <w:rFonts w:hint="eastAsia" w:ascii="黑体" w:hAnsi="黑体" w:eastAsia="黑体" w:cs="Times New Roman"/>
          <w:kern w:val="0"/>
          <w:szCs w:val="21"/>
        </w:rPr>
        <w:t>规范性</w:t>
      </w:r>
      <w:bookmarkEnd w:id="30"/>
      <w:r>
        <w:rPr>
          <w:rFonts w:hint="eastAsia" w:ascii="黑体" w:hAnsi="黑体" w:eastAsia="黑体" w:cs="Times New Roman"/>
          <w:kern w:val="0"/>
          <w:szCs w:val="21"/>
        </w:rPr>
        <w:t>）</w:t>
      </w:r>
    </w:p>
    <w:p>
      <w:pPr>
        <w:jc w:val="center"/>
        <w:rPr>
          <w:rFonts w:hint="eastAsia" w:ascii="黑体" w:hAnsi="黑体" w:eastAsia="黑体" w:cs="Times New Roman"/>
          <w:kern w:val="0"/>
          <w:szCs w:val="21"/>
        </w:rPr>
      </w:pPr>
      <w:r>
        <w:rPr>
          <w:rFonts w:hint="eastAsia" w:ascii="黑体" w:hAnsi="黑体" w:eastAsia="黑体" w:cs="Times New Roman"/>
          <w:kern w:val="0"/>
          <w:szCs w:val="21"/>
        </w:rPr>
        <w:t>糖尿病全周期数字健康管理数据采集规范</w:t>
      </w:r>
    </w:p>
    <w:p>
      <w:pPr>
        <w:ind w:left="0" w:leftChars="0" w:firstLine="0" w:firstLineChars="0"/>
        <w:jc w:val="both"/>
        <w:rPr>
          <w:rFonts w:hint="eastAsia" w:ascii="宋体" w:hAnsi="宋体" w:eastAsia="宋体" w:cs="宋体"/>
          <w:b/>
          <w:bCs/>
          <w:color w:val="auto"/>
          <w:kern w:val="0"/>
          <w:szCs w:val="21"/>
        </w:rPr>
      </w:pPr>
      <w:r>
        <w:rPr>
          <w:rFonts w:hint="eastAsia" w:ascii="宋体" w:hAnsi="宋体" w:eastAsia="宋体" w:cs="宋体"/>
          <w:b/>
          <w:bCs/>
          <w:color w:val="auto"/>
          <w:kern w:val="0"/>
          <w:szCs w:val="21"/>
        </w:rPr>
        <w:t>A.1 数据分类与编码</w:t>
      </w:r>
    </w:p>
    <w:p>
      <w:pPr>
        <w:ind w:left="0" w:leftChars="0" w:firstLine="0" w:firstLineChars="0"/>
        <w:jc w:val="both"/>
        <w:rPr>
          <w:rFonts w:hint="eastAsia" w:ascii="宋体" w:hAnsi="宋体" w:eastAsia="宋体" w:cs="宋体"/>
          <w:color w:val="auto"/>
          <w:kern w:val="0"/>
          <w:szCs w:val="21"/>
        </w:rPr>
      </w:pPr>
      <w:r>
        <w:rPr>
          <w:rFonts w:hint="eastAsia" w:ascii="宋体" w:hAnsi="宋体" w:eastAsia="宋体" w:cs="宋体"/>
          <w:color w:val="auto"/>
          <w:kern w:val="0"/>
          <w:szCs w:val="21"/>
        </w:rPr>
        <w:t>A.1.1 数据分为基础信息类、临床诊疗类、实验室检查类、行为特征类、数字化监测类、服务反馈类，每类数据元采用层级编码方式，编码规则符合 WS 363 要求。</w:t>
      </w:r>
    </w:p>
    <w:p>
      <w:pPr>
        <w:ind w:left="0" w:leftChars="0" w:firstLine="0" w:firstLineChars="0"/>
        <w:jc w:val="both"/>
        <w:rPr>
          <w:rFonts w:hint="eastAsia" w:ascii="宋体" w:hAnsi="宋体" w:eastAsia="宋体" w:cs="宋体"/>
          <w:color w:val="auto"/>
          <w:kern w:val="0"/>
          <w:szCs w:val="21"/>
        </w:rPr>
      </w:pPr>
      <w:r>
        <w:rPr>
          <w:rFonts w:hint="eastAsia" w:ascii="宋体" w:hAnsi="宋体" w:eastAsia="宋体" w:cs="宋体"/>
          <w:color w:val="auto"/>
          <w:kern w:val="0"/>
          <w:szCs w:val="21"/>
        </w:rPr>
        <w:t>A.1.2 数据元值域代码应符合 WS 364 要求，无统一值域代码的，由本规范明确统一值域。</w:t>
      </w:r>
    </w:p>
    <w:p>
      <w:pPr>
        <w:ind w:left="0" w:leftChars="0" w:firstLine="0" w:firstLineChars="0"/>
        <w:jc w:val="both"/>
        <w:rPr>
          <w:rFonts w:hint="eastAsia" w:ascii="宋体" w:hAnsi="宋体" w:eastAsia="宋体" w:cs="宋体"/>
          <w:b/>
          <w:bCs/>
          <w:color w:val="auto"/>
          <w:kern w:val="0"/>
          <w:szCs w:val="21"/>
        </w:rPr>
      </w:pPr>
      <w:r>
        <w:rPr>
          <w:rFonts w:hint="eastAsia" w:ascii="宋体" w:hAnsi="宋体" w:eastAsia="宋体" w:cs="宋体"/>
          <w:b/>
          <w:bCs/>
          <w:color w:val="auto"/>
          <w:kern w:val="0"/>
          <w:szCs w:val="21"/>
        </w:rPr>
        <w:t>A.2 核心数据元规范</w:t>
      </w:r>
    </w:p>
    <w:p>
      <w:pPr>
        <w:jc w:val="both"/>
        <w:rPr>
          <w:rFonts w:hint="eastAsia" w:ascii="宋体" w:hAnsi="宋体" w:eastAsia="宋体" w:cs="宋体"/>
          <w:color w:val="auto"/>
          <w:kern w:val="0"/>
          <w:szCs w:val="21"/>
        </w:rPr>
      </w:pPr>
      <w:r>
        <w:rPr>
          <w:rFonts w:hint="eastAsia" w:ascii="宋体" w:hAnsi="宋体" w:eastAsia="宋体" w:cs="宋体"/>
          <w:color w:val="auto"/>
          <w:kern w:val="0"/>
          <w:szCs w:val="21"/>
        </w:rPr>
        <w:t>核心数据元规范</w:t>
      </w:r>
      <w:r>
        <w:rPr>
          <w:rFonts w:hint="eastAsia" w:ascii="宋体" w:hAnsi="宋体" w:cs="宋体"/>
          <w:color w:val="auto"/>
          <w:kern w:val="0"/>
          <w:szCs w:val="21"/>
          <w:lang w:val="en-US" w:eastAsia="zh-CN"/>
        </w:rPr>
        <w:t>应</w:t>
      </w:r>
      <w:r>
        <w:rPr>
          <w:rFonts w:hint="eastAsia" w:ascii="宋体" w:hAnsi="宋体" w:eastAsia="宋体" w:cs="宋体"/>
          <w:color w:val="auto"/>
          <w:kern w:val="0"/>
          <w:szCs w:val="21"/>
        </w:rPr>
        <w:t>明确数据元名称、编码、定义、</w:t>
      </w:r>
      <w:r>
        <w:rPr>
          <w:rFonts w:hint="eastAsia" w:ascii="宋体" w:hAnsi="宋体" w:cs="宋体"/>
          <w:color w:val="auto"/>
          <w:kern w:val="0"/>
          <w:szCs w:val="21"/>
          <w:lang w:val="en-US" w:eastAsia="zh-CN"/>
        </w:rPr>
        <w:t>表示格式、</w:t>
      </w:r>
      <w:r>
        <w:rPr>
          <w:rFonts w:hint="eastAsia" w:ascii="宋体" w:hAnsi="宋体" w:eastAsia="宋体" w:cs="宋体"/>
          <w:color w:val="auto"/>
          <w:kern w:val="0"/>
          <w:szCs w:val="21"/>
        </w:rPr>
        <w:t>数据类型、值域等</w:t>
      </w:r>
      <w:r>
        <w:rPr>
          <w:rFonts w:hint="eastAsia" w:ascii="宋体" w:hAnsi="宋体" w:cs="宋体"/>
          <w:color w:val="auto"/>
          <w:kern w:val="0"/>
          <w:szCs w:val="21"/>
          <w:lang w:eastAsia="zh-CN"/>
        </w:rPr>
        <w:t>，</w:t>
      </w:r>
      <w:r>
        <w:rPr>
          <w:rFonts w:hint="eastAsia" w:ascii="宋体" w:hAnsi="宋体" w:cs="宋体"/>
          <w:color w:val="auto"/>
          <w:kern w:val="0"/>
          <w:szCs w:val="21"/>
          <w:lang w:val="en-US" w:eastAsia="zh-CN"/>
        </w:rPr>
        <w:t>数据元目录应符合 WS/T 363 规范</w:t>
      </w:r>
      <w:r>
        <w:rPr>
          <w:rFonts w:hint="eastAsia" w:ascii="宋体" w:hAnsi="宋体" w:eastAsia="宋体" w:cs="宋体"/>
          <w:color w:val="auto"/>
          <w:kern w:val="0"/>
          <w:szCs w:val="21"/>
        </w:rPr>
        <w:t>。</w:t>
      </w:r>
    </w:p>
    <w:p>
      <w:pPr>
        <w:ind w:left="0" w:leftChars="0" w:firstLine="0" w:firstLineChars="0"/>
        <w:jc w:val="both"/>
        <w:rPr>
          <w:rFonts w:hint="eastAsia" w:ascii="宋体" w:hAnsi="宋体" w:eastAsia="宋体" w:cs="宋体"/>
          <w:b/>
          <w:bCs/>
          <w:color w:val="auto"/>
          <w:kern w:val="0"/>
          <w:szCs w:val="21"/>
        </w:rPr>
      </w:pPr>
      <w:r>
        <w:rPr>
          <w:rFonts w:hint="eastAsia" w:ascii="宋体" w:hAnsi="宋体" w:eastAsia="宋体" w:cs="宋体"/>
          <w:b/>
          <w:bCs/>
          <w:color w:val="auto"/>
          <w:kern w:val="0"/>
          <w:szCs w:val="21"/>
        </w:rPr>
        <w:t>A.3 数据采集质量要求</w:t>
      </w:r>
    </w:p>
    <w:p>
      <w:pPr>
        <w:ind w:left="0" w:leftChars="0" w:firstLine="0" w:firstLineChars="0"/>
        <w:jc w:val="both"/>
        <w:rPr>
          <w:rFonts w:hint="eastAsia" w:ascii="宋体" w:hAnsi="宋体" w:cs="宋体"/>
          <w:color w:val="auto"/>
          <w:kern w:val="0"/>
          <w:szCs w:val="21"/>
          <w:lang w:eastAsia="zh-CN"/>
        </w:rPr>
      </w:pPr>
      <w:r>
        <w:rPr>
          <w:rFonts w:hint="eastAsia" w:ascii="宋体" w:hAnsi="宋体" w:eastAsia="宋体" w:cs="宋体"/>
          <w:color w:val="auto"/>
          <w:kern w:val="0"/>
          <w:szCs w:val="21"/>
        </w:rPr>
        <w:t>A.3.1 真实性：采集的数据应真实反映患者实际情况，禁止虚构或篡改数据</w:t>
      </w:r>
      <w:r>
        <w:rPr>
          <w:rFonts w:hint="eastAsia" w:ascii="宋体" w:hAnsi="宋体" w:cs="宋体"/>
          <w:color w:val="auto"/>
          <w:kern w:val="0"/>
          <w:szCs w:val="21"/>
          <w:lang w:eastAsia="zh-CN"/>
        </w:rPr>
        <w:t>。</w:t>
      </w:r>
    </w:p>
    <w:p>
      <w:pPr>
        <w:ind w:left="0" w:leftChars="0" w:firstLine="0" w:firstLineChars="0"/>
        <w:jc w:val="both"/>
        <w:rPr>
          <w:rFonts w:hint="eastAsia" w:ascii="宋体" w:hAnsi="宋体" w:cs="宋体"/>
          <w:color w:val="auto"/>
          <w:kern w:val="0"/>
          <w:szCs w:val="21"/>
          <w:lang w:eastAsia="zh-CN"/>
        </w:rPr>
      </w:pPr>
      <w:r>
        <w:rPr>
          <w:rFonts w:hint="eastAsia" w:ascii="宋体" w:hAnsi="宋体" w:eastAsia="宋体" w:cs="宋体"/>
          <w:color w:val="auto"/>
          <w:kern w:val="0"/>
          <w:szCs w:val="21"/>
        </w:rPr>
        <w:t>A.3.</w:t>
      </w:r>
      <w:r>
        <w:rPr>
          <w:rFonts w:hint="eastAsia" w:ascii="宋体" w:hAnsi="宋体" w:cs="宋体"/>
          <w:color w:val="auto"/>
          <w:kern w:val="0"/>
          <w:szCs w:val="21"/>
          <w:lang w:val="en-US" w:eastAsia="zh-CN"/>
        </w:rPr>
        <w:t>2</w:t>
      </w:r>
      <w:r>
        <w:rPr>
          <w:rFonts w:hint="eastAsia" w:ascii="宋体" w:hAnsi="宋体" w:eastAsia="宋体" w:cs="宋体"/>
          <w:color w:val="auto"/>
          <w:kern w:val="0"/>
          <w:szCs w:val="21"/>
        </w:rPr>
        <w:t xml:space="preserve"> 规范性：数据录入格式、单位、编码等应符合本规范要求，避免数据混乱</w:t>
      </w:r>
      <w:r>
        <w:rPr>
          <w:rFonts w:hint="eastAsia" w:ascii="宋体" w:hAnsi="宋体" w:cs="宋体"/>
          <w:color w:val="auto"/>
          <w:kern w:val="0"/>
          <w:szCs w:val="21"/>
          <w:lang w:eastAsia="zh-CN"/>
        </w:rPr>
        <w:t>。</w:t>
      </w:r>
    </w:p>
    <w:p>
      <w:pPr>
        <w:ind w:left="0" w:leftChars="0" w:firstLine="0" w:firstLineChars="0"/>
        <w:jc w:val="both"/>
        <w:rPr>
          <w:rFonts w:hint="eastAsia" w:ascii="宋体" w:hAnsi="宋体" w:eastAsia="宋体" w:cs="宋体"/>
          <w:color w:val="auto"/>
          <w:kern w:val="0"/>
          <w:szCs w:val="21"/>
        </w:rPr>
      </w:pPr>
      <w:r>
        <w:rPr>
          <w:rFonts w:hint="eastAsia" w:ascii="宋体" w:hAnsi="宋体" w:eastAsia="宋体" w:cs="宋体"/>
          <w:color w:val="auto"/>
          <w:kern w:val="0"/>
          <w:szCs w:val="21"/>
        </w:rPr>
        <w:t>A.3.</w:t>
      </w:r>
      <w:r>
        <w:rPr>
          <w:rFonts w:hint="eastAsia" w:ascii="宋体" w:hAnsi="宋体" w:cs="宋体"/>
          <w:color w:val="auto"/>
          <w:kern w:val="0"/>
          <w:szCs w:val="21"/>
          <w:lang w:val="en-US" w:eastAsia="zh-CN"/>
        </w:rPr>
        <w:t>3</w:t>
      </w:r>
      <w:r>
        <w:rPr>
          <w:rFonts w:hint="eastAsia" w:ascii="宋体" w:hAnsi="宋体" w:eastAsia="宋体" w:cs="宋体"/>
          <w:color w:val="auto"/>
          <w:kern w:val="0"/>
          <w:szCs w:val="21"/>
        </w:rPr>
        <w:t xml:space="preserve"> 及时性：临床诊疗数据、数字化监测数据应在产生后 </w:t>
      </w:r>
      <w:r>
        <w:rPr>
          <w:rFonts w:hint="eastAsia" w:ascii="宋体" w:hAnsi="宋体" w:cs="宋体"/>
          <w:color w:val="auto"/>
          <w:kern w:val="0"/>
          <w:szCs w:val="21"/>
          <w:lang w:val="en-US" w:eastAsia="zh-CN"/>
        </w:rPr>
        <w:t>48</w:t>
      </w:r>
      <w:r>
        <w:rPr>
          <w:rFonts w:hint="eastAsia" w:ascii="宋体" w:hAnsi="宋体" w:eastAsia="宋体" w:cs="宋体"/>
          <w:color w:val="auto"/>
          <w:kern w:val="0"/>
          <w:szCs w:val="21"/>
        </w:rPr>
        <w:t xml:space="preserve"> 小时内完成采集上传，行为特征数据应在事件发生后 72 小时内完成采集。</w:t>
      </w:r>
    </w:p>
    <w:p>
      <w:pPr>
        <w:rPr>
          <w:rFonts w:hint="eastAsia" w:ascii="Times New Roman" w:hAnsi="Times New Roman" w:eastAsia="黑体" w:cs="Times New Roman"/>
          <w:i w:val="0"/>
          <w:iCs/>
          <w:color w:val="0070C0"/>
          <w:kern w:val="0"/>
          <w:sz w:val="20"/>
          <w:szCs w:val="21"/>
        </w:rPr>
      </w:pPr>
      <w:r>
        <w:rPr>
          <w:rFonts w:hint="eastAsia" w:ascii="Times New Roman" w:hAnsi="Times New Roman" w:eastAsia="黑体" w:cs="Times New Roman"/>
          <w:i w:val="0"/>
          <w:iCs/>
          <w:color w:val="0070C0"/>
          <w:kern w:val="0"/>
          <w:sz w:val="20"/>
          <w:szCs w:val="21"/>
        </w:rPr>
        <w:br w:type="page"/>
      </w:r>
    </w:p>
    <w:p>
      <w:pPr>
        <w:widowControl/>
        <w:spacing w:line="360" w:lineRule="exact"/>
        <w:ind w:left="0" w:leftChars="0" w:firstLine="0" w:firstLineChars="0"/>
        <w:jc w:val="left"/>
        <w:rPr>
          <w:rFonts w:hint="eastAsia" w:ascii="Times New Roman" w:hAnsi="Times New Roman" w:eastAsia="黑体" w:cs="Times New Roman"/>
          <w:i w:val="0"/>
          <w:iCs/>
          <w:color w:val="0070C0"/>
          <w:kern w:val="0"/>
          <w:sz w:val="20"/>
          <w:szCs w:val="21"/>
        </w:rPr>
      </w:pPr>
    </w:p>
    <w:p>
      <w:pPr>
        <w:widowControl/>
        <w:spacing w:line="360" w:lineRule="exact"/>
        <w:ind w:left="0" w:leftChars="0" w:firstLine="0" w:firstLineChars="0"/>
        <w:jc w:val="center"/>
        <w:outlineLvl w:val="0"/>
        <w:rPr>
          <w:rFonts w:hint="eastAsia" w:ascii="黑体" w:hAnsi="Times New Roman" w:eastAsia="黑体" w:cs="Times New Roman"/>
          <w:b/>
          <w:bCs/>
          <w:kern w:val="0"/>
          <w:sz w:val="32"/>
          <w:szCs w:val="20"/>
          <w:lang w:val="en-US" w:eastAsia="zh-CN" w:bidi="ar-SA"/>
        </w:rPr>
      </w:pPr>
      <w:bookmarkStart w:id="31" w:name="_Toc16424"/>
      <w:r>
        <w:rPr>
          <w:rFonts w:hint="eastAsia" w:ascii="黑体" w:hAnsi="Times New Roman" w:eastAsia="黑体" w:cs="Times New Roman"/>
          <w:b/>
          <w:bCs/>
          <w:kern w:val="0"/>
          <w:sz w:val="32"/>
          <w:szCs w:val="20"/>
          <w:lang w:val="en-US" w:eastAsia="zh-CN" w:bidi="ar-SA"/>
        </w:rPr>
        <w:t>附 录 B</w:t>
      </w:r>
      <w:bookmarkEnd w:id="31"/>
    </w:p>
    <w:p>
      <w:pPr>
        <w:widowControl/>
        <w:spacing w:line="360" w:lineRule="exact"/>
        <w:ind w:left="0" w:leftChars="0" w:firstLine="0" w:firstLineChars="0"/>
        <w:jc w:val="center"/>
        <w:rPr>
          <w:rFonts w:hint="eastAsia" w:ascii="黑体" w:hAnsi="黑体" w:eastAsia="黑体" w:cs="黑体"/>
          <w:sz w:val="21"/>
          <w:szCs w:val="21"/>
        </w:rPr>
      </w:pPr>
      <w:r>
        <w:rPr>
          <w:rFonts w:hint="eastAsia" w:ascii="黑体" w:hAnsi="黑体" w:eastAsia="黑体" w:cs="黑体"/>
          <w:sz w:val="21"/>
          <w:szCs w:val="21"/>
        </w:rPr>
        <w:t>（资料性）</w:t>
      </w:r>
    </w:p>
    <w:p>
      <w:pPr>
        <w:widowControl/>
        <w:spacing w:line="360" w:lineRule="exact"/>
        <w:ind w:left="0" w:leftChars="0" w:firstLine="0" w:firstLineChars="0"/>
        <w:jc w:val="center"/>
        <w:rPr>
          <w:rFonts w:hint="eastAsia" w:ascii="黑体" w:hAnsi="黑体" w:eastAsia="黑体" w:cs="黑体"/>
          <w:sz w:val="21"/>
          <w:szCs w:val="21"/>
          <w:highlight w:val="none"/>
          <w:lang w:eastAsia="zh-CN"/>
        </w:rPr>
      </w:pPr>
      <w:r>
        <w:rPr>
          <w:rFonts w:hint="eastAsia" w:ascii="黑体" w:hAnsi="黑体" w:eastAsia="黑体" w:cs="黑体"/>
          <w:sz w:val="21"/>
          <w:szCs w:val="21"/>
          <w:highlight w:val="none"/>
        </w:rPr>
        <w:t>糖尿病全周期管理效果评价指标体系</w:t>
      </w:r>
    </w:p>
    <w:p>
      <w:pPr>
        <w:widowControl/>
        <w:spacing w:line="360" w:lineRule="exact"/>
        <w:ind w:left="0" w:leftChars="0" w:firstLine="0" w:firstLineChars="0"/>
        <w:jc w:val="both"/>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B.1 临床效果指标</w:t>
      </w:r>
    </w:p>
    <w:p>
      <w:pPr>
        <w:pStyle w:val="3"/>
        <w:rPr>
          <w:rFonts w:hint="default" w:eastAsia="黑体"/>
          <w:lang w:val="en-US" w:eastAsia="zh-CN"/>
        </w:rPr>
      </w:pPr>
      <w:r>
        <w:t xml:space="preserve">表 </w:t>
      </w:r>
      <w:r>
        <w:fldChar w:fldCharType="begin"/>
      </w:r>
      <w:r>
        <w:instrText xml:space="preserve"> SEQ 表 \* ARABIC </w:instrText>
      </w:r>
      <w:r>
        <w:fldChar w:fldCharType="separate"/>
      </w:r>
      <w:r>
        <w:t>1</w:t>
      </w:r>
      <w:r>
        <w:fldChar w:fldCharType="end"/>
      </w:r>
      <w:r>
        <w:rPr>
          <w:rFonts w:hint="eastAsia"/>
          <w:lang w:val="en-US" w:eastAsia="zh-CN"/>
        </w:rPr>
        <w:t xml:space="preserve"> </w:t>
      </w:r>
      <w:r>
        <w:rPr>
          <w:rFonts w:hint="eastAsia"/>
        </w:rPr>
        <w:t>临床效果指标</w:t>
      </w:r>
      <w:r>
        <w:rPr>
          <w:rFonts w:hint="eastAsia"/>
          <w:lang w:val="en-US" w:eastAsia="zh-CN"/>
        </w:rPr>
        <w:t>及计算方法</w:t>
      </w:r>
    </w:p>
    <w:tbl>
      <w:tblPr>
        <w:tblStyle w:val="14"/>
        <w:tblW w:w="85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98"/>
        <w:gridCol w:w="2562"/>
        <w:gridCol w:w="42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698" w:type="dxa"/>
            <w:vAlign w:val="top"/>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both"/>
              <w:textAlignment w:val="auto"/>
              <w:rPr>
                <w:rFonts w:hint="eastAsia" w:ascii="宋体" w:hAnsi="宋体" w:eastAsia="宋体" w:cs="宋体"/>
                <w:b/>
                <w:bCs/>
                <w:sz w:val="21"/>
                <w:szCs w:val="21"/>
                <w:highlight w:val="none"/>
                <w:vertAlign w:val="baseline"/>
              </w:rPr>
            </w:pPr>
            <w:r>
              <w:rPr>
                <w:rFonts w:hint="eastAsia" w:ascii="宋体" w:hAnsi="宋体" w:cs="宋体"/>
                <w:b/>
                <w:bCs/>
                <w:sz w:val="21"/>
                <w:szCs w:val="21"/>
                <w:vertAlign w:val="baseline"/>
                <w:lang w:val="en-US" w:eastAsia="zh-CN"/>
              </w:rPr>
              <w:t>序号</w:t>
            </w:r>
          </w:p>
        </w:tc>
        <w:tc>
          <w:tcPr>
            <w:tcW w:w="2562" w:type="dxa"/>
            <w:vAlign w:val="top"/>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both"/>
              <w:textAlignment w:val="auto"/>
              <w:rPr>
                <w:rFonts w:hint="eastAsia" w:ascii="宋体" w:hAnsi="宋体" w:eastAsia="宋体" w:cs="宋体"/>
                <w:b/>
                <w:bCs/>
                <w:sz w:val="21"/>
                <w:szCs w:val="21"/>
                <w:highlight w:val="none"/>
                <w:vertAlign w:val="baseline"/>
              </w:rPr>
            </w:pPr>
            <w:r>
              <w:rPr>
                <w:rFonts w:hint="eastAsia" w:ascii="宋体" w:hAnsi="宋体" w:cs="宋体"/>
                <w:b/>
                <w:bCs/>
                <w:sz w:val="21"/>
                <w:szCs w:val="21"/>
                <w:vertAlign w:val="baseline"/>
                <w:lang w:val="en-US" w:eastAsia="zh-CN"/>
              </w:rPr>
              <w:t>指标</w:t>
            </w:r>
          </w:p>
        </w:tc>
        <w:tc>
          <w:tcPr>
            <w:tcW w:w="4268" w:type="dxa"/>
            <w:vAlign w:val="top"/>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both"/>
              <w:textAlignment w:val="auto"/>
              <w:rPr>
                <w:rFonts w:hint="eastAsia" w:ascii="宋体" w:hAnsi="宋体" w:eastAsia="宋体" w:cs="宋体"/>
                <w:b/>
                <w:bCs/>
                <w:sz w:val="21"/>
                <w:szCs w:val="21"/>
                <w:highlight w:val="none"/>
                <w:vertAlign w:val="baseline"/>
              </w:rPr>
            </w:pPr>
            <w:r>
              <w:rPr>
                <w:rFonts w:hint="eastAsia" w:ascii="宋体" w:hAnsi="宋体" w:cs="宋体"/>
                <w:b/>
                <w:bCs/>
                <w:sz w:val="21"/>
                <w:szCs w:val="21"/>
                <w:vertAlign w:val="baseline"/>
                <w:lang w:val="en-US" w:eastAsia="zh-CN"/>
              </w:rPr>
              <w:t>计算方法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698" w:type="dxa"/>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both"/>
              <w:textAlignment w:val="auto"/>
              <w:rPr>
                <w:rFonts w:hint="eastAsia" w:ascii="宋体" w:hAnsi="宋体" w:eastAsia="宋体" w:cs="宋体"/>
                <w:b/>
                <w:bCs/>
                <w:sz w:val="21"/>
                <w:szCs w:val="21"/>
                <w:highlight w:val="none"/>
                <w:vertAlign w:val="baseline"/>
              </w:rPr>
            </w:pPr>
            <w:r>
              <w:rPr>
                <w:rFonts w:hint="eastAsia" w:ascii="宋体" w:hAnsi="宋体" w:eastAsia="宋体" w:cs="宋体"/>
                <w:sz w:val="21"/>
                <w:szCs w:val="21"/>
              </w:rPr>
              <w:t>B.1.1</w:t>
            </w:r>
          </w:p>
        </w:tc>
        <w:tc>
          <w:tcPr>
            <w:tcW w:w="2562" w:type="dxa"/>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both"/>
              <w:textAlignment w:val="auto"/>
              <w:rPr>
                <w:rFonts w:hint="eastAsia" w:ascii="宋体" w:hAnsi="宋体" w:eastAsia="宋体" w:cs="宋体"/>
                <w:b/>
                <w:bCs/>
                <w:sz w:val="21"/>
                <w:szCs w:val="21"/>
                <w:highlight w:val="none"/>
                <w:vertAlign w:val="baseline"/>
              </w:rPr>
            </w:pPr>
            <w:r>
              <w:rPr>
                <w:rFonts w:hint="eastAsia" w:ascii="宋体" w:hAnsi="宋体" w:eastAsia="宋体" w:cs="宋体"/>
                <w:sz w:val="21"/>
                <w:szCs w:val="21"/>
              </w:rPr>
              <w:t>糖尿病知晓率</w:t>
            </w:r>
          </w:p>
        </w:tc>
        <w:tc>
          <w:tcPr>
            <w:tcW w:w="4268" w:type="dxa"/>
          </w:tcPr>
          <w:p>
            <w:pPr>
              <w:keepNext w:val="0"/>
              <w:keepLines w:val="0"/>
              <w:pageBreakBefore w:val="0"/>
              <w:widowControl/>
              <w:kinsoku/>
              <w:wordWrap/>
              <w:overflowPunct/>
              <w:topLinePunct w:val="0"/>
              <w:autoSpaceDE/>
              <w:autoSpaceDN/>
              <w:bidi w:val="0"/>
              <w:adjustRightInd/>
              <w:snapToGrid/>
              <w:spacing w:line="360" w:lineRule="exact"/>
              <w:ind w:left="0" w:leftChars="0" w:firstLine="0" w:firstLineChars="0"/>
              <w:jc w:val="both"/>
              <w:textAlignment w:val="auto"/>
              <w:rPr>
                <w:rFonts w:hint="eastAsia" w:ascii="宋体" w:hAnsi="宋体" w:eastAsia="宋体" w:cs="宋体"/>
                <w:b/>
                <w:bCs/>
                <w:sz w:val="21"/>
                <w:szCs w:val="21"/>
                <w:highlight w:val="none"/>
                <w:vertAlign w:val="baseline"/>
              </w:rPr>
            </w:pPr>
            <w:r>
              <w:rPr>
                <w:rFonts w:hint="eastAsia" w:ascii="宋体" w:hAnsi="宋体" w:eastAsia="宋体" w:cs="宋体"/>
                <w:sz w:val="21"/>
                <w:szCs w:val="21"/>
              </w:rPr>
              <w:t>知晓自身糖尿病诊断结果的患者数/管理对象总数×100%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698" w:type="dxa"/>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both"/>
              <w:textAlignment w:val="auto"/>
              <w:rPr>
                <w:rFonts w:hint="eastAsia" w:ascii="宋体" w:hAnsi="宋体" w:eastAsia="宋体" w:cs="宋体"/>
                <w:b/>
                <w:bCs/>
                <w:sz w:val="21"/>
                <w:szCs w:val="21"/>
                <w:highlight w:val="none"/>
                <w:vertAlign w:val="baseline"/>
              </w:rPr>
            </w:pPr>
            <w:r>
              <w:rPr>
                <w:rFonts w:hint="eastAsia" w:ascii="宋体" w:hAnsi="宋体" w:eastAsia="宋体" w:cs="宋体"/>
                <w:sz w:val="21"/>
                <w:szCs w:val="21"/>
              </w:rPr>
              <w:t>B.1.2</w:t>
            </w:r>
          </w:p>
        </w:tc>
        <w:tc>
          <w:tcPr>
            <w:tcW w:w="2562" w:type="dxa"/>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both"/>
              <w:textAlignment w:val="auto"/>
              <w:rPr>
                <w:rFonts w:hint="eastAsia" w:ascii="宋体" w:hAnsi="宋体" w:eastAsia="宋体" w:cs="宋体"/>
                <w:b/>
                <w:bCs/>
                <w:sz w:val="21"/>
                <w:szCs w:val="21"/>
                <w:highlight w:val="none"/>
                <w:vertAlign w:val="baseline"/>
              </w:rPr>
            </w:pPr>
            <w:r>
              <w:rPr>
                <w:rFonts w:hint="eastAsia" w:ascii="宋体" w:hAnsi="宋体" w:eastAsia="宋体" w:cs="宋体"/>
                <w:sz w:val="21"/>
                <w:szCs w:val="21"/>
              </w:rPr>
              <w:t>糖化血红蛋白达标率</w:t>
            </w:r>
          </w:p>
        </w:tc>
        <w:tc>
          <w:tcPr>
            <w:tcW w:w="4268" w:type="dxa"/>
          </w:tcPr>
          <w:p>
            <w:pPr>
              <w:keepNext w:val="0"/>
              <w:keepLines w:val="0"/>
              <w:pageBreakBefore w:val="0"/>
              <w:widowControl/>
              <w:kinsoku/>
              <w:wordWrap/>
              <w:overflowPunct/>
              <w:topLinePunct w:val="0"/>
              <w:autoSpaceDE/>
              <w:autoSpaceDN/>
              <w:bidi w:val="0"/>
              <w:adjustRightInd/>
              <w:snapToGrid/>
              <w:spacing w:line="360" w:lineRule="exact"/>
              <w:ind w:left="0" w:leftChars="0" w:firstLine="0" w:firstLineChars="0"/>
              <w:jc w:val="both"/>
              <w:textAlignment w:val="auto"/>
              <w:rPr>
                <w:rFonts w:hint="eastAsia" w:ascii="宋体" w:hAnsi="宋体" w:eastAsia="宋体" w:cs="宋体"/>
                <w:b/>
                <w:bCs/>
                <w:sz w:val="21"/>
                <w:szCs w:val="21"/>
                <w:highlight w:val="none"/>
                <w:vertAlign w:val="baseline"/>
              </w:rPr>
            </w:pPr>
            <w:r>
              <w:rPr>
                <w:rFonts w:hint="eastAsia" w:ascii="宋体" w:hAnsi="宋体" w:eastAsia="宋体" w:cs="宋体"/>
                <w:sz w:val="21"/>
                <w:szCs w:val="21"/>
              </w:rPr>
              <w:t>糖化血红蛋白＜7.0% 的患者数/管理对象总数 ×100%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698" w:type="dxa"/>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both"/>
              <w:textAlignment w:val="auto"/>
              <w:rPr>
                <w:rFonts w:hint="eastAsia" w:ascii="宋体" w:hAnsi="宋体" w:eastAsia="宋体" w:cs="宋体"/>
                <w:b/>
                <w:bCs/>
                <w:sz w:val="21"/>
                <w:szCs w:val="21"/>
                <w:highlight w:val="none"/>
                <w:vertAlign w:val="baseline"/>
              </w:rPr>
            </w:pPr>
            <w:r>
              <w:rPr>
                <w:rFonts w:hint="eastAsia" w:ascii="宋体" w:hAnsi="宋体" w:eastAsia="宋体" w:cs="宋体"/>
                <w:sz w:val="21"/>
                <w:szCs w:val="21"/>
              </w:rPr>
              <w:t>B.1.3</w:t>
            </w:r>
          </w:p>
        </w:tc>
        <w:tc>
          <w:tcPr>
            <w:tcW w:w="2562" w:type="dxa"/>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both"/>
              <w:textAlignment w:val="auto"/>
              <w:rPr>
                <w:rFonts w:hint="eastAsia" w:ascii="宋体" w:hAnsi="宋体" w:eastAsia="宋体" w:cs="宋体"/>
                <w:b/>
                <w:bCs/>
                <w:sz w:val="21"/>
                <w:szCs w:val="21"/>
                <w:highlight w:val="none"/>
                <w:vertAlign w:val="baseline"/>
              </w:rPr>
            </w:pPr>
            <w:r>
              <w:rPr>
                <w:rFonts w:hint="eastAsia" w:ascii="宋体" w:hAnsi="宋体" w:eastAsia="宋体" w:cs="宋体"/>
                <w:sz w:val="21"/>
                <w:szCs w:val="21"/>
              </w:rPr>
              <w:t>空腹血糖达标率</w:t>
            </w:r>
          </w:p>
        </w:tc>
        <w:tc>
          <w:tcPr>
            <w:tcW w:w="4268" w:type="dxa"/>
          </w:tcPr>
          <w:p>
            <w:pPr>
              <w:keepNext w:val="0"/>
              <w:keepLines w:val="0"/>
              <w:pageBreakBefore w:val="0"/>
              <w:widowControl/>
              <w:kinsoku/>
              <w:wordWrap/>
              <w:overflowPunct/>
              <w:topLinePunct w:val="0"/>
              <w:autoSpaceDE/>
              <w:autoSpaceDN/>
              <w:bidi w:val="0"/>
              <w:adjustRightInd/>
              <w:snapToGrid/>
              <w:spacing w:line="360" w:lineRule="exact"/>
              <w:ind w:left="0" w:leftChars="0" w:firstLine="0" w:firstLineChars="0"/>
              <w:jc w:val="both"/>
              <w:textAlignment w:val="auto"/>
              <w:rPr>
                <w:rFonts w:hint="eastAsia" w:ascii="宋体" w:hAnsi="宋体" w:eastAsia="宋体" w:cs="宋体"/>
                <w:b/>
                <w:bCs/>
                <w:sz w:val="21"/>
                <w:szCs w:val="21"/>
                <w:highlight w:val="none"/>
                <w:vertAlign w:val="baseline"/>
              </w:rPr>
            </w:pPr>
            <w:r>
              <w:rPr>
                <w:rFonts w:hint="eastAsia" w:ascii="宋体" w:hAnsi="宋体" w:eastAsia="宋体" w:cs="宋体"/>
                <w:sz w:val="21"/>
                <w:szCs w:val="21"/>
              </w:rPr>
              <w:t>空腹血糖 3.9~7.0mmol/L 的患者数/管理对象总数 ×100%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698" w:type="dxa"/>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both"/>
              <w:textAlignment w:val="auto"/>
              <w:rPr>
                <w:rFonts w:hint="eastAsia" w:ascii="宋体" w:hAnsi="宋体" w:eastAsia="宋体" w:cs="宋体"/>
                <w:b/>
                <w:bCs/>
                <w:sz w:val="21"/>
                <w:szCs w:val="21"/>
                <w:highlight w:val="none"/>
                <w:vertAlign w:val="baseline"/>
              </w:rPr>
            </w:pPr>
            <w:r>
              <w:rPr>
                <w:rFonts w:hint="eastAsia" w:ascii="宋体" w:hAnsi="宋体" w:eastAsia="宋体" w:cs="宋体"/>
                <w:sz w:val="21"/>
                <w:szCs w:val="21"/>
              </w:rPr>
              <w:t>B.1.4</w:t>
            </w:r>
          </w:p>
        </w:tc>
        <w:tc>
          <w:tcPr>
            <w:tcW w:w="2562" w:type="dxa"/>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both"/>
              <w:textAlignment w:val="auto"/>
              <w:rPr>
                <w:rFonts w:hint="eastAsia" w:ascii="宋体" w:hAnsi="宋体" w:eastAsia="宋体" w:cs="宋体"/>
                <w:b/>
                <w:bCs/>
                <w:sz w:val="21"/>
                <w:szCs w:val="21"/>
                <w:highlight w:val="none"/>
                <w:vertAlign w:val="baseline"/>
              </w:rPr>
            </w:pPr>
            <w:r>
              <w:rPr>
                <w:rFonts w:hint="eastAsia" w:ascii="宋体" w:hAnsi="宋体" w:eastAsia="宋体" w:cs="宋体"/>
                <w:sz w:val="21"/>
                <w:szCs w:val="21"/>
              </w:rPr>
              <w:t>餐后 2 小时血糖达标率</w:t>
            </w:r>
          </w:p>
        </w:tc>
        <w:tc>
          <w:tcPr>
            <w:tcW w:w="4268" w:type="dxa"/>
          </w:tcPr>
          <w:p>
            <w:pPr>
              <w:keepNext w:val="0"/>
              <w:keepLines w:val="0"/>
              <w:pageBreakBefore w:val="0"/>
              <w:widowControl/>
              <w:kinsoku/>
              <w:wordWrap/>
              <w:overflowPunct/>
              <w:topLinePunct w:val="0"/>
              <w:autoSpaceDE/>
              <w:autoSpaceDN/>
              <w:bidi w:val="0"/>
              <w:adjustRightInd/>
              <w:snapToGrid/>
              <w:spacing w:line="360" w:lineRule="exact"/>
              <w:ind w:left="0" w:leftChars="0" w:firstLine="0" w:firstLineChars="0"/>
              <w:jc w:val="both"/>
              <w:textAlignment w:val="auto"/>
              <w:rPr>
                <w:rFonts w:hint="eastAsia" w:ascii="宋体" w:hAnsi="宋体" w:eastAsia="宋体" w:cs="宋体"/>
                <w:b/>
                <w:bCs/>
                <w:sz w:val="21"/>
                <w:szCs w:val="21"/>
                <w:highlight w:val="none"/>
                <w:vertAlign w:val="baseline"/>
              </w:rPr>
            </w:pPr>
            <w:r>
              <w:rPr>
                <w:rFonts w:hint="eastAsia" w:ascii="宋体" w:hAnsi="宋体" w:eastAsia="宋体" w:cs="宋体"/>
                <w:sz w:val="21"/>
                <w:szCs w:val="21"/>
              </w:rPr>
              <w:t>餐后2小时血糖＜10.0mmol/L 的患者数/管理对象总数 ×100%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698" w:type="dxa"/>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both"/>
              <w:textAlignment w:val="auto"/>
              <w:rPr>
                <w:rFonts w:hint="eastAsia" w:ascii="宋体" w:hAnsi="宋体" w:eastAsia="宋体" w:cs="宋体"/>
                <w:b/>
                <w:bCs/>
                <w:sz w:val="21"/>
                <w:szCs w:val="21"/>
                <w:highlight w:val="none"/>
                <w:vertAlign w:val="baseline"/>
              </w:rPr>
            </w:pPr>
            <w:r>
              <w:rPr>
                <w:rFonts w:hint="eastAsia" w:ascii="宋体" w:hAnsi="宋体" w:eastAsia="宋体" w:cs="宋体"/>
                <w:sz w:val="21"/>
                <w:szCs w:val="21"/>
              </w:rPr>
              <w:t>B.1.5</w:t>
            </w:r>
          </w:p>
        </w:tc>
        <w:tc>
          <w:tcPr>
            <w:tcW w:w="2562" w:type="dxa"/>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both"/>
              <w:textAlignment w:val="auto"/>
              <w:rPr>
                <w:rFonts w:hint="eastAsia" w:ascii="宋体" w:hAnsi="宋体" w:eastAsia="宋体" w:cs="宋体"/>
                <w:b/>
                <w:bCs/>
                <w:sz w:val="21"/>
                <w:szCs w:val="21"/>
                <w:highlight w:val="none"/>
                <w:vertAlign w:val="baseline"/>
              </w:rPr>
            </w:pPr>
            <w:r>
              <w:rPr>
                <w:rFonts w:hint="eastAsia" w:ascii="宋体" w:hAnsi="宋体" w:eastAsia="宋体" w:cs="宋体"/>
                <w:sz w:val="21"/>
                <w:szCs w:val="21"/>
              </w:rPr>
              <w:t>并发症发生率</w:t>
            </w:r>
          </w:p>
        </w:tc>
        <w:tc>
          <w:tcPr>
            <w:tcW w:w="4268" w:type="dxa"/>
          </w:tcPr>
          <w:p>
            <w:pPr>
              <w:keepNext w:val="0"/>
              <w:keepLines w:val="0"/>
              <w:pageBreakBefore w:val="0"/>
              <w:widowControl/>
              <w:kinsoku/>
              <w:wordWrap/>
              <w:overflowPunct/>
              <w:topLinePunct w:val="0"/>
              <w:autoSpaceDE/>
              <w:autoSpaceDN/>
              <w:bidi w:val="0"/>
              <w:adjustRightInd/>
              <w:snapToGrid/>
              <w:spacing w:line="360" w:lineRule="exact"/>
              <w:ind w:left="0" w:leftChars="0" w:firstLine="0" w:firstLineChars="0"/>
              <w:jc w:val="both"/>
              <w:textAlignment w:val="auto"/>
              <w:rPr>
                <w:rFonts w:hint="eastAsia" w:ascii="宋体" w:hAnsi="宋体" w:eastAsia="宋体" w:cs="宋体"/>
                <w:b/>
                <w:bCs/>
                <w:sz w:val="21"/>
                <w:szCs w:val="21"/>
                <w:highlight w:val="none"/>
                <w:vertAlign w:val="baseline"/>
              </w:rPr>
            </w:pPr>
            <w:r>
              <w:rPr>
                <w:rFonts w:hint="eastAsia" w:ascii="宋体" w:hAnsi="宋体" w:eastAsia="宋体" w:cs="宋体"/>
                <w:sz w:val="21"/>
                <w:szCs w:val="21"/>
              </w:rPr>
              <w:t>管理期间新发并发症的患者数/管理对象总数 ×100%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698" w:type="dxa"/>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both"/>
              <w:textAlignment w:val="auto"/>
              <w:rPr>
                <w:rFonts w:hint="eastAsia" w:ascii="宋体" w:hAnsi="宋体" w:eastAsia="宋体" w:cs="宋体"/>
                <w:b/>
                <w:bCs/>
                <w:sz w:val="21"/>
                <w:szCs w:val="21"/>
                <w:highlight w:val="none"/>
                <w:vertAlign w:val="baseline"/>
              </w:rPr>
            </w:pPr>
            <w:r>
              <w:rPr>
                <w:rFonts w:hint="eastAsia" w:ascii="宋体" w:hAnsi="宋体" w:eastAsia="宋体" w:cs="宋体"/>
                <w:sz w:val="21"/>
                <w:szCs w:val="21"/>
              </w:rPr>
              <w:t>B.1.6</w:t>
            </w:r>
          </w:p>
        </w:tc>
        <w:tc>
          <w:tcPr>
            <w:tcW w:w="2562" w:type="dxa"/>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both"/>
              <w:textAlignment w:val="auto"/>
              <w:rPr>
                <w:rFonts w:hint="eastAsia" w:ascii="宋体" w:hAnsi="宋体" w:eastAsia="宋体" w:cs="宋体"/>
                <w:b/>
                <w:bCs/>
                <w:sz w:val="21"/>
                <w:szCs w:val="21"/>
                <w:highlight w:val="none"/>
                <w:vertAlign w:val="baseline"/>
              </w:rPr>
            </w:pPr>
            <w:r>
              <w:rPr>
                <w:rFonts w:hint="eastAsia" w:ascii="宋体" w:hAnsi="宋体" w:eastAsia="宋体" w:cs="宋体"/>
                <w:sz w:val="21"/>
                <w:szCs w:val="21"/>
              </w:rPr>
              <w:t>人均住院次数</w:t>
            </w:r>
          </w:p>
        </w:tc>
        <w:tc>
          <w:tcPr>
            <w:tcW w:w="4268" w:type="dxa"/>
          </w:tcPr>
          <w:p>
            <w:pPr>
              <w:keepNext w:val="0"/>
              <w:keepLines w:val="0"/>
              <w:pageBreakBefore w:val="0"/>
              <w:widowControl/>
              <w:kinsoku/>
              <w:wordWrap/>
              <w:overflowPunct/>
              <w:topLinePunct w:val="0"/>
              <w:autoSpaceDE/>
              <w:autoSpaceDN/>
              <w:bidi w:val="0"/>
              <w:adjustRightInd/>
              <w:snapToGrid/>
              <w:spacing w:line="360" w:lineRule="exact"/>
              <w:ind w:left="0" w:leftChars="0" w:firstLine="0" w:firstLineChars="0"/>
              <w:jc w:val="both"/>
              <w:textAlignment w:val="auto"/>
              <w:rPr>
                <w:rFonts w:hint="eastAsia" w:ascii="宋体" w:hAnsi="宋体" w:eastAsia="宋体" w:cs="宋体"/>
                <w:b/>
                <w:bCs/>
                <w:sz w:val="21"/>
                <w:szCs w:val="21"/>
                <w:highlight w:val="none"/>
                <w:vertAlign w:val="baseline"/>
              </w:rPr>
            </w:pPr>
            <w:r>
              <w:rPr>
                <w:rFonts w:hint="eastAsia" w:ascii="宋体" w:hAnsi="宋体" w:eastAsia="宋体" w:cs="宋体"/>
                <w:sz w:val="21"/>
                <w:szCs w:val="21"/>
              </w:rPr>
              <w:t>管理期间患者总住院次数/管理对象总数×100%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698" w:type="dxa"/>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both"/>
              <w:textAlignment w:val="auto"/>
              <w:rPr>
                <w:rFonts w:hint="default" w:ascii="宋体" w:hAnsi="宋体" w:eastAsia="宋体" w:cs="宋体"/>
                <w:sz w:val="21"/>
                <w:szCs w:val="21"/>
                <w:lang w:val="en-US" w:eastAsia="zh-CN"/>
              </w:rPr>
            </w:pPr>
            <w:r>
              <w:rPr>
                <w:rFonts w:hint="eastAsia" w:ascii="宋体" w:hAnsi="宋体" w:cs="宋体"/>
                <w:sz w:val="21"/>
                <w:szCs w:val="21"/>
                <w:lang w:val="en-US" w:eastAsia="zh-CN"/>
              </w:rPr>
              <w:t>B.1.7</w:t>
            </w:r>
          </w:p>
        </w:tc>
        <w:tc>
          <w:tcPr>
            <w:tcW w:w="2562" w:type="dxa"/>
            <w:vAlign w:val="top"/>
          </w:tcPr>
          <w:p>
            <w:pPr>
              <w:widowControl/>
              <w:spacing w:line="360" w:lineRule="exact"/>
              <w:ind w:left="0" w:leftChars="0" w:firstLine="0" w:firstLineChars="0"/>
              <w:jc w:val="left"/>
              <w:rPr>
                <w:rFonts w:hint="eastAsia" w:ascii="宋体" w:hAnsi="宋体" w:eastAsia="宋体" w:cs="宋体"/>
                <w:sz w:val="21"/>
                <w:szCs w:val="21"/>
              </w:rPr>
            </w:pPr>
            <w:r>
              <w:rPr>
                <w:rFonts w:hint="default" w:ascii="Times New Roman" w:hAnsi="Times New Roman" w:eastAsia="宋体" w:cs="Times New Roman"/>
                <w:i w:val="0"/>
                <w:iCs/>
                <w:color w:val="auto"/>
                <w:kern w:val="0"/>
                <w:sz w:val="21"/>
                <w:szCs w:val="21"/>
                <w:highlight w:val="none"/>
              </w:rPr>
              <w:t>血糖波动达标率（TIR）</w:t>
            </w:r>
          </w:p>
        </w:tc>
        <w:tc>
          <w:tcPr>
            <w:tcW w:w="4268" w:type="dxa"/>
            <w:vAlign w:val="top"/>
          </w:tcPr>
          <w:p>
            <w:pPr>
              <w:widowControl/>
              <w:spacing w:line="360" w:lineRule="exact"/>
              <w:ind w:left="0" w:leftChars="0" w:firstLine="0" w:firstLineChars="0"/>
              <w:jc w:val="left"/>
              <w:rPr>
                <w:rFonts w:hint="eastAsia" w:ascii="宋体" w:hAnsi="宋体" w:eastAsia="宋体" w:cs="宋体"/>
                <w:sz w:val="21"/>
                <w:szCs w:val="21"/>
              </w:rPr>
            </w:pPr>
            <w:r>
              <w:rPr>
                <w:rFonts w:hint="default" w:ascii="Times New Roman" w:hAnsi="Times New Roman" w:eastAsia="宋体" w:cs="Times New Roman"/>
                <w:i w:val="0"/>
                <w:iCs/>
                <w:color w:val="auto"/>
                <w:kern w:val="0"/>
                <w:sz w:val="21"/>
                <w:szCs w:val="21"/>
                <w:highlight w:val="none"/>
              </w:rPr>
              <w:t>使用动态血糖仪监测的患者，血糖在目标范围（3.9-10.0mmol/L）内的时间占比。</w:t>
            </w:r>
          </w:p>
        </w:tc>
      </w:tr>
    </w:tbl>
    <w:p>
      <w:pPr>
        <w:widowControl/>
        <w:spacing w:line="360" w:lineRule="exact"/>
        <w:ind w:left="0" w:leftChars="0" w:firstLine="0" w:firstLineChars="0"/>
        <w:jc w:val="both"/>
        <w:rPr>
          <w:rFonts w:hint="eastAsia" w:ascii="宋体" w:hAnsi="宋体" w:eastAsia="宋体" w:cs="宋体"/>
          <w:b/>
          <w:bCs/>
          <w:sz w:val="21"/>
          <w:szCs w:val="21"/>
        </w:rPr>
      </w:pPr>
    </w:p>
    <w:p>
      <w:pPr>
        <w:widowControl/>
        <w:spacing w:line="360" w:lineRule="exact"/>
        <w:ind w:left="0" w:leftChars="0" w:firstLine="0" w:firstLineChars="0"/>
        <w:jc w:val="both"/>
        <w:rPr>
          <w:rFonts w:hint="eastAsia" w:ascii="宋体" w:hAnsi="宋体" w:eastAsia="宋体" w:cs="宋体"/>
          <w:b/>
          <w:bCs/>
          <w:sz w:val="21"/>
          <w:szCs w:val="21"/>
        </w:rPr>
      </w:pPr>
      <w:r>
        <w:rPr>
          <w:rFonts w:hint="eastAsia" w:ascii="宋体" w:hAnsi="宋体" w:eastAsia="宋体" w:cs="宋体"/>
          <w:b/>
          <w:bCs/>
          <w:sz w:val="21"/>
          <w:szCs w:val="21"/>
        </w:rPr>
        <w:t>B.2 治疗依从性指标</w:t>
      </w:r>
    </w:p>
    <w:p>
      <w:pPr>
        <w:pStyle w:val="3"/>
        <w:rPr>
          <w:rFonts w:hint="eastAsia" w:eastAsia="黑体"/>
          <w:lang w:val="en-US" w:eastAsia="zh-CN"/>
        </w:rPr>
      </w:pPr>
      <w:r>
        <w:t xml:space="preserve">表 </w:t>
      </w:r>
      <w:r>
        <w:fldChar w:fldCharType="begin"/>
      </w:r>
      <w:r>
        <w:instrText xml:space="preserve"> SEQ 表 \* ARABIC </w:instrText>
      </w:r>
      <w:r>
        <w:fldChar w:fldCharType="separate"/>
      </w:r>
      <w:r>
        <w:t>2</w:t>
      </w:r>
      <w:r>
        <w:fldChar w:fldCharType="end"/>
      </w:r>
      <w:r>
        <w:rPr>
          <w:rFonts w:hint="eastAsia"/>
          <w:lang w:val="en-US" w:eastAsia="zh-CN"/>
        </w:rPr>
        <w:t xml:space="preserve"> 治疗依从性指标及计算方法</w:t>
      </w:r>
    </w:p>
    <w:tbl>
      <w:tblPr>
        <w:tblStyle w:val="14"/>
        <w:tblW w:w="85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89"/>
        <w:gridCol w:w="2551"/>
        <w:gridCol w:w="42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689" w:type="dxa"/>
            <w:vAlign w:val="top"/>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both"/>
              <w:textAlignment w:val="auto"/>
              <w:rPr>
                <w:rFonts w:hint="eastAsia" w:ascii="宋体" w:hAnsi="宋体" w:eastAsia="宋体" w:cs="宋体"/>
                <w:b/>
                <w:bCs/>
                <w:sz w:val="21"/>
                <w:szCs w:val="21"/>
                <w:vertAlign w:val="baseline"/>
              </w:rPr>
            </w:pPr>
            <w:r>
              <w:rPr>
                <w:rFonts w:hint="eastAsia" w:ascii="宋体" w:hAnsi="宋体" w:cs="宋体"/>
                <w:b/>
                <w:bCs/>
                <w:sz w:val="21"/>
                <w:szCs w:val="21"/>
                <w:vertAlign w:val="baseline"/>
                <w:lang w:val="en-US" w:eastAsia="zh-CN"/>
              </w:rPr>
              <w:t>序号</w:t>
            </w:r>
          </w:p>
        </w:tc>
        <w:tc>
          <w:tcPr>
            <w:tcW w:w="2551" w:type="dxa"/>
            <w:vAlign w:val="top"/>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both"/>
              <w:textAlignment w:val="auto"/>
              <w:rPr>
                <w:rFonts w:hint="eastAsia" w:ascii="宋体" w:hAnsi="宋体" w:eastAsia="宋体" w:cs="宋体"/>
                <w:b/>
                <w:bCs/>
                <w:sz w:val="21"/>
                <w:szCs w:val="21"/>
                <w:vertAlign w:val="baseline"/>
              </w:rPr>
            </w:pPr>
            <w:r>
              <w:rPr>
                <w:rFonts w:hint="eastAsia" w:ascii="宋体" w:hAnsi="宋体" w:cs="宋体"/>
                <w:b/>
                <w:bCs/>
                <w:sz w:val="21"/>
                <w:szCs w:val="21"/>
                <w:vertAlign w:val="baseline"/>
                <w:lang w:val="en-US" w:eastAsia="zh-CN"/>
              </w:rPr>
              <w:t>指标</w:t>
            </w:r>
          </w:p>
        </w:tc>
        <w:tc>
          <w:tcPr>
            <w:tcW w:w="4288" w:type="dxa"/>
            <w:vAlign w:val="top"/>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both"/>
              <w:textAlignment w:val="auto"/>
              <w:rPr>
                <w:rFonts w:hint="eastAsia" w:ascii="宋体" w:hAnsi="宋体" w:eastAsia="宋体" w:cs="宋体"/>
                <w:b/>
                <w:bCs/>
                <w:sz w:val="21"/>
                <w:szCs w:val="21"/>
                <w:vertAlign w:val="baseline"/>
              </w:rPr>
            </w:pPr>
            <w:r>
              <w:rPr>
                <w:rFonts w:hint="eastAsia" w:ascii="宋体" w:hAnsi="宋体" w:cs="宋体"/>
                <w:b/>
                <w:bCs/>
                <w:sz w:val="21"/>
                <w:szCs w:val="21"/>
                <w:vertAlign w:val="baseline"/>
                <w:lang w:val="en-US" w:eastAsia="zh-CN"/>
              </w:rPr>
              <w:t>计算方法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689" w:type="dxa"/>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both"/>
              <w:textAlignment w:val="auto"/>
              <w:rPr>
                <w:rFonts w:hint="eastAsia" w:ascii="宋体" w:hAnsi="宋体" w:eastAsia="宋体" w:cs="宋体"/>
                <w:b/>
                <w:bCs/>
                <w:sz w:val="21"/>
                <w:szCs w:val="21"/>
                <w:vertAlign w:val="baseline"/>
              </w:rPr>
            </w:pPr>
            <w:r>
              <w:rPr>
                <w:rFonts w:hint="eastAsia" w:ascii="宋体" w:hAnsi="宋体" w:eastAsia="宋体" w:cs="宋体"/>
                <w:sz w:val="21"/>
                <w:szCs w:val="21"/>
              </w:rPr>
              <w:t>B.2.1</w:t>
            </w:r>
          </w:p>
        </w:tc>
        <w:tc>
          <w:tcPr>
            <w:tcW w:w="2551" w:type="dxa"/>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both"/>
              <w:textAlignment w:val="auto"/>
              <w:rPr>
                <w:rFonts w:hint="eastAsia" w:ascii="宋体" w:hAnsi="宋体" w:eastAsia="宋体" w:cs="宋体"/>
                <w:b/>
                <w:bCs/>
                <w:sz w:val="21"/>
                <w:szCs w:val="21"/>
                <w:vertAlign w:val="baseline"/>
              </w:rPr>
            </w:pPr>
            <w:r>
              <w:rPr>
                <w:rFonts w:hint="eastAsia" w:ascii="宋体" w:hAnsi="宋体" w:eastAsia="宋体" w:cs="宋体"/>
                <w:sz w:val="21"/>
                <w:szCs w:val="21"/>
              </w:rPr>
              <w:t>用药依从率</w:t>
            </w:r>
          </w:p>
        </w:tc>
        <w:tc>
          <w:tcPr>
            <w:tcW w:w="4288" w:type="dxa"/>
          </w:tcPr>
          <w:p>
            <w:pPr>
              <w:keepNext w:val="0"/>
              <w:keepLines w:val="0"/>
              <w:pageBreakBefore w:val="0"/>
              <w:widowControl/>
              <w:kinsoku/>
              <w:wordWrap/>
              <w:overflowPunct/>
              <w:topLinePunct w:val="0"/>
              <w:autoSpaceDE/>
              <w:autoSpaceDN/>
              <w:bidi w:val="0"/>
              <w:adjustRightInd/>
              <w:snapToGrid/>
              <w:spacing w:line="360" w:lineRule="exact"/>
              <w:ind w:left="0" w:leftChars="0" w:firstLine="0" w:firstLineChars="0"/>
              <w:jc w:val="both"/>
              <w:textAlignment w:val="auto"/>
              <w:rPr>
                <w:rFonts w:hint="eastAsia" w:ascii="宋体" w:hAnsi="宋体" w:eastAsia="宋体" w:cs="宋体"/>
                <w:b/>
                <w:bCs/>
                <w:sz w:val="21"/>
                <w:szCs w:val="21"/>
                <w:vertAlign w:val="baseline"/>
              </w:rPr>
            </w:pPr>
            <w:r>
              <w:rPr>
                <w:rFonts w:hint="eastAsia" w:ascii="宋体" w:hAnsi="宋体" w:eastAsia="宋体" w:cs="宋体"/>
                <w:sz w:val="21"/>
                <w:szCs w:val="21"/>
              </w:rPr>
              <w:t>按医嘱规律用药的患者数/管理对象总数 ×100%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689" w:type="dxa"/>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both"/>
              <w:textAlignment w:val="auto"/>
              <w:rPr>
                <w:rFonts w:hint="eastAsia" w:ascii="宋体" w:hAnsi="宋体" w:eastAsia="宋体" w:cs="宋体"/>
                <w:b/>
                <w:bCs/>
                <w:sz w:val="21"/>
                <w:szCs w:val="21"/>
                <w:vertAlign w:val="baseline"/>
              </w:rPr>
            </w:pPr>
            <w:r>
              <w:rPr>
                <w:rFonts w:hint="eastAsia" w:ascii="宋体" w:hAnsi="宋体" w:eastAsia="宋体" w:cs="宋体"/>
                <w:sz w:val="21"/>
                <w:szCs w:val="21"/>
              </w:rPr>
              <w:t>B.2.2</w:t>
            </w:r>
          </w:p>
        </w:tc>
        <w:tc>
          <w:tcPr>
            <w:tcW w:w="2551" w:type="dxa"/>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both"/>
              <w:textAlignment w:val="auto"/>
              <w:rPr>
                <w:rFonts w:hint="eastAsia" w:ascii="宋体" w:hAnsi="宋体" w:eastAsia="宋体" w:cs="宋体"/>
                <w:b/>
                <w:bCs/>
                <w:sz w:val="21"/>
                <w:szCs w:val="21"/>
                <w:vertAlign w:val="baseline"/>
              </w:rPr>
            </w:pPr>
            <w:r>
              <w:rPr>
                <w:rFonts w:hint="eastAsia" w:ascii="宋体" w:hAnsi="宋体" w:eastAsia="宋体" w:cs="宋体"/>
                <w:sz w:val="21"/>
                <w:szCs w:val="21"/>
              </w:rPr>
              <w:t>血糖监测依从率</w:t>
            </w:r>
          </w:p>
        </w:tc>
        <w:tc>
          <w:tcPr>
            <w:tcW w:w="4288" w:type="dxa"/>
          </w:tcPr>
          <w:p>
            <w:pPr>
              <w:keepNext w:val="0"/>
              <w:keepLines w:val="0"/>
              <w:pageBreakBefore w:val="0"/>
              <w:widowControl/>
              <w:kinsoku/>
              <w:wordWrap/>
              <w:overflowPunct/>
              <w:topLinePunct w:val="0"/>
              <w:autoSpaceDE/>
              <w:autoSpaceDN/>
              <w:bidi w:val="0"/>
              <w:adjustRightInd/>
              <w:snapToGrid/>
              <w:spacing w:line="360" w:lineRule="exact"/>
              <w:ind w:left="0" w:leftChars="0" w:firstLine="0" w:firstLineChars="0"/>
              <w:jc w:val="both"/>
              <w:textAlignment w:val="auto"/>
              <w:rPr>
                <w:rFonts w:hint="eastAsia" w:ascii="宋体" w:hAnsi="宋体" w:eastAsia="宋体" w:cs="宋体"/>
                <w:b/>
                <w:bCs/>
                <w:sz w:val="21"/>
                <w:szCs w:val="21"/>
                <w:vertAlign w:val="baseline"/>
              </w:rPr>
            </w:pPr>
            <w:r>
              <w:rPr>
                <w:rFonts w:hint="eastAsia" w:ascii="宋体" w:hAnsi="宋体" w:eastAsia="宋体" w:cs="宋体"/>
                <w:sz w:val="21"/>
                <w:szCs w:val="21"/>
              </w:rPr>
              <w:t>按计划完成血糖监测的患者数/管理对象总数 ×100%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689" w:type="dxa"/>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both"/>
              <w:textAlignment w:val="auto"/>
              <w:rPr>
                <w:rFonts w:hint="eastAsia" w:ascii="宋体" w:hAnsi="宋体" w:eastAsia="宋体" w:cs="宋体"/>
                <w:b/>
                <w:bCs/>
                <w:sz w:val="21"/>
                <w:szCs w:val="21"/>
                <w:vertAlign w:val="baseline"/>
              </w:rPr>
            </w:pPr>
            <w:r>
              <w:rPr>
                <w:rFonts w:hint="eastAsia" w:ascii="宋体" w:hAnsi="宋体" w:eastAsia="宋体" w:cs="宋体"/>
                <w:sz w:val="21"/>
                <w:szCs w:val="21"/>
              </w:rPr>
              <w:t>B.2.3</w:t>
            </w:r>
          </w:p>
        </w:tc>
        <w:tc>
          <w:tcPr>
            <w:tcW w:w="2551" w:type="dxa"/>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both"/>
              <w:textAlignment w:val="auto"/>
              <w:rPr>
                <w:rFonts w:hint="eastAsia" w:ascii="宋体" w:hAnsi="宋体" w:eastAsia="宋体" w:cs="宋体"/>
                <w:b/>
                <w:bCs/>
                <w:sz w:val="21"/>
                <w:szCs w:val="21"/>
                <w:vertAlign w:val="baseline"/>
              </w:rPr>
            </w:pPr>
            <w:r>
              <w:rPr>
                <w:rFonts w:hint="eastAsia" w:ascii="宋体" w:hAnsi="宋体" w:eastAsia="宋体" w:cs="宋体"/>
                <w:sz w:val="21"/>
                <w:szCs w:val="21"/>
              </w:rPr>
              <w:t>饮食干预依从率</w:t>
            </w:r>
          </w:p>
        </w:tc>
        <w:tc>
          <w:tcPr>
            <w:tcW w:w="4288" w:type="dxa"/>
          </w:tcPr>
          <w:p>
            <w:pPr>
              <w:keepNext w:val="0"/>
              <w:keepLines w:val="0"/>
              <w:pageBreakBefore w:val="0"/>
              <w:widowControl/>
              <w:kinsoku/>
              <w:wordWrap/>
              <w:overflowPunct/>
              <w:topLinePunct w:val="0"/>
              <w:autoSpaceDE/>
              <w:autoSpaceDN/>
              <w:bidi w:val="0"/>
              <w:adjustRightInd/>
              <w:snapToGrid/>
              <w:spacing w:line="360" w:lineRule="exact"/>
              <w:ind w:left="0" w:leftChars="0" w:firstLine="0" w:firstLineChars="0"/>
              <w:jc w:val="both"/>
              <w:textAlignment w:val="auto"/>
              <w:rPr>
                <w:rFonts w:hint="eastAsia" w:ascii="宋体" w:hAnsi="宋体" w:eastAsia="宋体" w:cs="宋体"/>
                <w:b/>
                <w:bCs/>
                <w:sz w:val="21"/>
                <w:szCs w:val="21"/>
                <w:vertAlign w:val="baseline"/>
              </w:rPr>
            </w:pPr>
            <w:r>
              <w:rPr>
                <w:rFonts w:hint="eastAsia" w:ascii="宋体" w:hAnsi="宋体" w:eastAsia="宋体" w:cs="宋体"/>
                <w:sz w:val="21"/>
                <w:szCs w:val="21"/>
              </w:rPr>
              <w:t>按饮食方案执行的患者数/管理对象总数 ×100%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689" w:type="dxa"/>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both"/>
              <w:textAlignment w:val="auto"/>
              <w:rPr>
                <w:rFonts w:hint="eastAsia" w:ascii="宋体" w:hAnsi="宋体" w:eastAsia="宋体" w:cs="宋体"/>
                <w:b/>
                <w:bCs/>
                <w:sz w:val="21"/>
                <w:szCs w:val="21"/>
                <w:vertAlign w:val="baseline"/>
              </w:rPr>
            </w:pPr>
            <w:r>
              <w:rPr>
                <w:rFonts w:hint="eastAsia" w:ascii="宋体" w:hAnsi="宋体" w:eastAsia="宋体" w:cs="宋体"/>
                <w:sz w:val="21"/>
                <w:szCs w:val="21"/>
              </w:rPr>
              <w:t>B.2.4</w:t>
            </w:r>
          </w:p>
        </w:tc>
        <w:tc>
          <w:tcPr>
            <w:tcW w:w="2551" w:type="dxa"/>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both"/>
              <w:textAlignment w:val="auto"/>
              <w:rPr>
                <w:rFonts w:hint="eastAsia" w:ascii="宋体" w:hAnsi="宋体" w:eastAsia="宋体" w:cs="宋体"/>
                <w:b/>
                <w:bCs/>
                <w:sz w:val="21"/>
                <w:szCs w:val="21"/>
                <w:vertAlign w:val="baseline"/>
              </w:rPr>
            </w:pPr>
            <w:r>
              <w:rPr>
                <w:rFonts w:hint="eastAsia" w:ascii="宋体" w:hAnsi="宋体" w:eastAsia="宋体" w:cs="宋体"/>
                <w:sz w:val="21"/>
                <w:szCs w:val="21"/>
              </w:rPr>
              <w:t>运动干预依从率</w:t>
            </w:r>
          </w:p>
        </w:tc>
        <w:tc>
          <w:tcPr>
            <w:tcW w:w="4288" w:type="dxa"/>
          </w:tcPr>
          <w:p>
            <w:pPr>
              <w:keepNext w:val="0"/>
              <w:keepLines w:val="0"/>
              <w:pageBreakBefore w:val="0"/>
              <w:widowControl/>
              <w:kinsoku/>
              <w:wordWrap/>
              <w:overflowPunct/>
              <w:topLinePunct w:val="0"/>
              <w:autoSpaceDE/>
              <w:autoSpaceDN/>
              <w:bidi w:val="0"/>
              <w:adjustRightInd/>
              <w:snapToGrid/>
              <w:spacing w:line="360" w:lineRule="exact"/>
              <w:ind w:left="0" w:leftChars="0" w:firstLine="0" w:firstLineChars="0"/>
              <w:jc w:val="both"/>
              <w:textAlignment w:val="auto"/>
              <w:rPr>
                <w:rFonts w:hint="eastAsia" w:ascii="宋体" w:hAnsi="宋体" w:eastAsia="宋体" w:cs="宋体"/>
                <w:b/>
                <w:bCs/>
                <w:sz w:val="21"/>
                <w:szCs w:val="21"/>
                <w:vertAlign w:val="baseline"/>
              </w:rPr>
            </w:pPr>
            <w:r>
              <w:rPr>
                <w:rFonts w:hint="eastAsia" w:ascii="宋体" w:hAnsi="宋体" w:eastAsia="宋体" w:cs="宋体"/>
                <w:sz w:val="21"/>
                <w:szCs w:val="21"/>
              </w:rPr>
              <w:t>按运动方案执行的患者数/管理对象总数 ×100%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689" w:type="dxa"/>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both"/>
              <w:textAlignment w:val="auto"/>
              <w:rPr>
                <w:rFonts w:hint="eastAsia" w:ascii="宋体" w:hAnsi="宋体" w:eastAsia="宋体" w:cs="宋体"/>
                <w:b/>
                <w:bCs/>
                <w:sz w:val="21"/>
                <w:szCs w:val="21"/>
                <w:vertAlign w:val="baseline"/>
              </w:rPr>
            </w:pPr>
            <w:r>
              <w:rPr>
                <w:rFonts w:hint="eastAsia" w:ascii="宋体" w:hAnsi="宋体" w:eastAsia="宋体" w:cs="宋体"/>
                <w:sz w:val="21"/>
                <w:szCs w:val="21"/>
              </w:rPr>
              <w:t>B.2.5</w:t>
            </w:r>
          </w:p>
        </w:tc>
        <w:tc>
          <w:tcPr>
            <w:tcW w:w="2551" w:type="dxa"/>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both"/>
              <w:textAlignment w:val="auto"/>
              <w:rPr>
                <w:rFonts w:hint="eastAsia" w:ascii="宋体" w:hAnsi="宋体" w:eastAsia="宋体" w:cs="宋体"/>
                <w:b/>
                <w:bCs/>
                <w:sz w:val="21"/>
                <w:szCs w:val="21"/>
                <w:vertAlign w:val="baseline"/>
              </w:rPr>
            </w:pPr>
            <w:r>
              <w:rPr>
                <w:rFonts w:hint="eastAsia" w:ascii="宋体" w:hAnsi="宋体" w:eastAsia="宋体" w:cs="宋体"/>
                <w:sz w:val="21"/>
                <w:szCs w:val="21"/>
              </w:rPr>
              <w:t>随访依从率</w:t>
            </w:r>
          </w:p>
        </w:tc>
        <w:tc>
          <w:tcPr>
            <w:tcW w:w="4288" w:type="dxa"/>
          </w:tcPr>
          <w:p>
            <w:pPr>
              <w:keepNext w:val="0"/>
              <w:keepLines w:val="0"/>
              <w:pageBreakBefore w:val="0"/>
              <w:widowControl/>
              <w:kinsoku/>
              <w:wordWrap/>
              <w:overflowPunct/>
              <w:topLinePunct w:val="0"/>
              <w:autoSpaceDE/>
              <w:autoSpaceDN/>
              <w:bidi w:val="0"/>
              <w:adjustRightInd/>
              <w:snapToGrid/>
              <w:spacing w:line="360" w:lineRule="exact"/>
              <w:ind w:left="0" w:leftChars="0" w:firstLine="0" w:firstLineChars="0"/>
              <w:jc w:val="both"/>
              <w:textAlignment w:val="auto"/>
              <w:rPr>
                <w:rFonts w:hint="eastAsia" w:ascii="宋体" w:hAnsi="宋体" w:eastAsia="宋体" w:cs="宋体"/>
                <w:b/>
                <w:bCs/>
                <w:sz w:val="21"/>
                <w:szCs w:val="21"/>
                <w:vertAlign w:val="baseline"/>
              </w:rPr>
            </w:pPr>
            <w:r>
              <w:rPr>
                <w:rFonts w:hint="eastAsia" w:ascii="宋体" w:hAnsi="宋体" w:eastAsia="宋体" w:cs="宋体"/>
                <w:sz w:val="21"/>
                <w:szCs w:val="21"/>
              </w:rPr>
              <w:t>完成规定随访次数的患者数/管理对象总数 ×100%</w:t>
            </w:r>
          </w:p>
        </w:tc>
      </w:tr>
    </w:tbl>
    <w:p>
      <w:pPr>
        <w:widowControl/>
        <w:spacing w:line="360" w:lineRule="exact"/>
        <w:ind w:left="0" w:leftChars="0" w:firstLine="0" w:firstLineChars="0"/>
        <w:jc w:val="both"/>
        <w:rPr>
          <w:rFonts w:hint="eastAsia" w:ascii="宋体" w:hAnsi="宋体" w:eastAsia="宋体" w:cs="宋体"/>
          <w:b/>
          <w:bCs/>
          <w:sz w:val="21"/>
          <w:szCs w:val="21"/>
        </w:rPr>
      </w:pPr>
    </w:p>
    <w:p>
      <w:pPr>
        <w:widowControl/>
        <w:spacing w:line="360" w:lineRule="exact"/>
        <w:ind w:left="0" w:leftChars="0" w:firstLine="0" w:firstLineChars="0"/>
        <w:jc w:val="both"/>
        <w:rPr>
          <w:rFonts w:hint="eastAsia" w:ascii="宋体" w:hAnsi="宋体" w:eastAsia="宋体" w:cs="宋体"/>
          <w:b/>
          <w:bCs/>
          <w:sz w:val="21"/>
          <w:szCs w:val="21"/>
        </w:rPr>
      </w:pPr>
      <w:r>
        <w:rPr>
          <w:rFonts w:hint="eastAsia" w:ascii="宋体" w:hAnsi="宋体" w:eastAsia="宋体" w:cs="宋体"/>
          <w:b/>
          <w:bCs/>
          <w:sz w:val="21"/>
          <w:szCs w:val="21"/>
        </w:rPr>
        <w:t>B.3 服务质量指标</w:t>
      </w:r>
    </w:p>
    <w:p>
      <w:pPr>
        <w:pStyle w:val="3"/>
        <w:rPr>
          <w:rFonts w:hint="default" w:eastAsia="黑体"/>
          <w:lang w:val="en-US" w:eastAsia="zh-CN"/>
        </w:rPr>
      </w:pPr>
      <w:r>
        <w:t xml:space="preserve">表 </w:t>
      </w:r>
      <w:r>
        <w:fldChar w:fldCharType="begin"/>
      </w:r>
      <w:r>
        <w:instrText xml:space="preserve"> SEQ 表 \* ARABIC </w:instrText>
      </w:r>
      <w:r>
        <w:fldChar w:fldCharType="separate"/>
      </w:r>
      <w:r>
        <w:t>3</w:t>
      </w:r>
      <w:r>
        <w:fldChar w:fldCharType="end"/>
      </w:r>
      <w:r>
        <w:rPr>
          <w:rFonts w:hint="eastAsia"/>
          <w:lang w:val="en-US" w:eastAsia="zh-CN"/>
        </w:rPr>
        <w:t xml:space="preserve"> 服务质量指标及计算方法</w:t>
      </w:r>
    </w:p>
    <w:tbl>
      <w:tblPr>
        <w:tblStyle w:val="14"/>
        <w:tblW w:w="85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35"/>
        <w:gridCol w:w="2259"/>
        <w:gridCol w:w="46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9" w:hRule="atLeast"/>
        </w:trPr>
        <w:tc>
          <w:tcPr>
            <w:tcW w:w="1635" w:type="dxa"/>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both"/>
              <w:textAlignment w:val="auto"/>
              <w:rPr>
                <w:rFonts w:hint="eastAsia" w:ascii="宋体" w:hAnsi="宋体" w:eastAsia="宋体" w:cs="宋体"/>
                <w:b/>
                <w:bCs/>
                <w:sz w:val="21"/>
                <w:szCs w:val="21"/>
                <w:vertAlign w:val="baseline"/>
                <w:lang w:val="en-US" w:eastAsia="zh-CN"/>
              </w:rPr>
            </w:pPr>
            <w:r>
              <w:rPr>
                <w:rFonts w:hint="eastAsia" w:ascii="宋体" w:hAnsi="宋体" w:cs="宋体"/>
                <w:b/>
                <w:bCs/>
                <w:sz w:val="21"/>
                <w:szCs w:val="21"/>
                <w:vertAlign w:val="baseline"/>
                <w:lang w:val="en-US" w:eastAsia="zh-CN"/>
              </w:rPr>
              <w:t>序号</w:t>
            </w:r>
          </w:p>
        </w:tc>
        <w:tc>
          <w:tcPr>
            <w:tcW w:w="2259" w:type="dxa"/>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both"/>
              <w:textAlignment w:val="auto"/>
              <w:rPr>
                <w:rFonts w:hint="eastAsia" w:ascii="宋体" w:hAnsi="宋体" w:eastAsia="宋体" w:cs="宋体"/>
                <w:b/>
                <w:bCs/>
                <w:sz w:val="21"/>
                <w:szCs w:val="21"/>
                <w:vertAlign w:val="baseline"/>
                <w:lang w:val="en-US" w:eastAsia="zh-CN"/>
              </w:rPr>
            </w:pPr>
            <w:r>
              <w:rPr>
                <w:rFonts w:hint="eastAsia" w:ascii="宋体" w:hAnsi="宋体" w:cs="宋体"/>
                <w:b/>
                <w:bCs/>
                <w:sz w:val="21"/>
                <w:szCs w:val="21"/>
                <w:vertAlign w:val="baseline"/>
                <w:lang w:val="en-US" w:eastAsia="zh-CN"/>
              </w:rPr>
              <w:t>指标</w:t>
            </w:r>
          </w:p>
        </w:tc>
        <w:tc>
          <w:tcPr>
            <w:tcW w:w="4634" w:type="dxa"/>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both"/>
              <w:textAlignment w:val="auto"/>
              <w:rPr>
                <w:rFonts w:hint="eastAsia" w:ascii="宋体" w:hAnsi="宋体" w:eastAsia="宋体" w:cs="宋体"/>
                <w:b/>
                <w:bCs/>
                <w:sz w:val="21"/>
                <w:szCs w:val="21"/>
                <w:vertAlign w:val="baseline"/>
                <w:lang w:val="en-US" w:eastAsia="zh-CN"/>
              </w:rPr>
            </w:pPr>
            <w:r>
              <w:rPr>
                <w:rFonts w:hint="eastAsia" w:ascii="宋体" w:hAnsi="宋体" w:cs="宋体"/>
                <w:b/>
                <w:bCs/>
                <w:sz w:val="21"/>
                <w:szCs w:val="21"/>
                <w:vertAlign w:val="baseline"/>
                <w:lang w:val="en-US" w:eastAsia="zh-CN"/>
              </w:rPr>
              <w:t>计算方法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635" w:type="dxa"/>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both"/>
              <w:textAlignment w:val="auto"/>
              <w:rPr>
                <w:rFonts w:hint="eastAsia" w:ascii="宋体" w:hAnsi="宋体" w:eastAsia="宋体" w:cs="宋体"/>
                <w:b/>
                <w:bCs/>
                <w:sz w:val="21"/>
                <w:szCs w:val="21"/>
                <w:vertAlign w:val="baseline"/>
              </w:rPr>
            </w:pPr>
            <w:r>
              <w:rPr>
                <w:rFonts w:hint="eastAsia" w:ascii="宋体" w:hAnsi="宋体" w:eastAsia="宋体" w:cs="宋体"/>
                <w:sz w:val="21"/>
                <w:szCs w:val="21"/>
              </w:rPr>
              <w:t>B.3.1</w:t>
            </w:r>
          </w:p>
        </w:tc>
        <w:tc>
          <w:tcPr>
            <w:tcW w:w="2259" w:type="dxa"/>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both"/>
              <w:textAlignment w:val="auto"/>
              <w:rPr>
                <w:rFonts w:hint="eastAsia" w:ascii="宋体" w:hAnsi="宋体" w:eastAsia="宋体" w:cs="宋体"/>
                <w:b/>
                <w:bCs/>
                <w:sz w:val="21"/>
                <w:szCs w:val="21"/>
                <w:vertAlign w:val="baseline"/>
              </w:rPr>
            </w:pPr>
            <w:r>
              <w:rPr>
                <w:rFonts w:hint="eastAsia" w:ascii="宋体" w:hAnsi="宋体" w:eastAsia="宋体" w:cs="宋体"/>
                <w:sz w:val="21"/>
                <w:szCs w:val="21"/>
              </w:rPr>
              <w:t>患者满意度</w:t>
            </w:r>
          </w:p>
        </w:tc>
        <w:tc>
          <w:tcPr>
            <w:tcW w:w="4634" w:type="dxa"/>
          </w:tcPr>
          <w:p>
            <w:pPr>
              <w:keepNext w:val="0"/>
              <w:keepLines w:val="0"/>
              <w:pageBreakBefore w:val="0"/>
              <w:widowControl/>
              <w:kinsoku/>
              <w:wordWrap/>
              <w:overflowPunct/>
              <w:topLinePunct w:val="0"/>
              <w:autoSpaceDE/>
              <w:autoSpaceDN/>
              <w:bidi w:val="0"/>
              <w:adjustRightInd/>
              <w:snapToGrid/>
              <w:spacing w:line="360" w:lineRule="exact"/>
              <w:ind w:left="0" w:leftChars="0" w:firstLine="0" w:firstLineChars="0"/>
              <w:jc w:val="both"/>
              <w:textAlignment w:val="auto"/>
              <w:rPr>
                <w:rFonts w:hint="eastAsia" w:ascii="宋体" w:hAnsi="宋体" w:eastAsia="宋体" w:cs="宋体"/>
                <w:b/>
                <w:bCs/>
                <w:sz w:val="21"/>
                <w:szCs w:val="21"/>
                <w:vertAlign w:val="baseline"/>
              </w:rPr>
            </w:pPr>
            <w:r>
              <w:rPr>
                <w:rFonts w:hint="eastAsia" w:ascii="宋体" w:hAnsi="宋体" w:eastAsia="宋体" w:cs="宋体"/>
                <w:sz w:val="21"/>
                <w:szCs w:val="21"/>
              </w:rPr>
              <w:t>对管理服务满意的患者数/参与满意度调查的患者总数 ×100%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635" w:type="dxa"/>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both"/>
              <w:textAlignment w:val="auto"/>
              <w:rPr>
                <w:rFonts w:hint="eastAsia" w:ascii="宋体" w:hAnsi="宋体" w:eastAsia="宋体" w:cs="宋体"/>
                <w:b/>
                <w:bCs/>
                <w:sz w:val="21"/>
                <w:szCs w:val="21"/>
                <w:vertAlign w:val="baseline"/>
              </w:rPr>
            </w:pPr>
            <w:r>
              <w:rPr>
                <w:rFonts w:hint="eastAsia" w:ascii="宋体" w:hAnsi="宋体" w:eastAsia="宋体" w:cs="宋体"/>
                <w:sz w:val="21"/>
                <w:szCs w:val="21"/>
              </w:rPr>
              <w:t>B.3.2</w:t>
            </w:r>
          </w:p>
        </w:tc>
        <w:tc>
          <w:tcPr>
            <w:tcW w:w="2259" w:type="dxa"/>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both"/>
              <w:textAlignment w:val="auto"/>
              <w:rPr>
                <w:rFonts w:hint="eastAsia" w:ascii="宋体" w:hAnsi="宋体" w:eastAsia="宋体" w:cs="宋体"/>
                <w:b/>
                <w:bCs/>
                <w:sz w:val="21"/>
                <w:szCs w:val="21"/>
                <w:vertAlign w:val="baseline"/>
              </w:rPr>
            </w:pPr>
            <w:r>
              <w:rPr>
                <w:rFonts w:hint="eastAsia" w:ascii="宋体" w:hAnsi="宋体" w:eastAsia="宋体" w:cs="宋体"/>
                <w:sz w:val="21"/>
                <w:szCs w:val="21"/>
              </w:rPr>
              <w:t>平台使用率</w:t>
            </w:r>
          </w:p>
        </w:tc>
        <w:tc>
          <w:tcPr>
            <w:tcW w:w="4634" w:type="dxa"/>
          </w:tcPr>
          <w:p>
            <w:pPr>
              <w:keepNext w:val="0"/>
              <w:keepLines w:val="0"/>
              <w:pageBreakBefore w:val="0"/>
              <w:widowControl/>
              <w:kinsoku/>
              <w:wordWrap/>
              <w:overflowPunct/>
              <w:topLinePunct w:val="0"/>
              <w:autoSpaceDE/>
              <w:autoSpaceDN/>
              <w:bidi w:val="0"/>
              <w:adjustRightInd/>
              <w:snapToGrid/>
              <w:spacing w:line="360" w:lineRule="exact"/>
              <w:ind w:left="0" w:leftChars="0" w:firstLine="0" w:firstLineChars="0"/>
              <w:jc w:val="both"/>
              <w:textAlignment w:val="auto"/>
              <w:rPr>
                <w:rFonts w:hint="eastAsia" w:ascii="宋体" w:hAnsi="宋体" w:eastAsia="宋体" w:cs="宋体"/>
                <w:b/>
                <w:bCs/>
                <w:sz w:val="21"/>
                <w:szCs w:val="21"/>
                <w:vertAlign w:val="baseline"/>
              </w:rPr>
            </w:pPr>
            <w:r>
              <w:rPr>
                <w:rFonts w:hint="eastAsia" w:ascii="宋体" w:hAnsi="宋体" w:eastAsia="宋体" w:cs="宋体"/>
                <w:sz w:val="21"/>
                <w:szCs w:val="21"/>
              </w:rPr>
              <w:t>每</w:t>
            </w:r>
            <w:r>
              <w:rPr>
                <w:rFonts w:hint="eastAsia" w:ascii="宋体" w:hAnsi="宋体" w:cs="宋体"/>
                <w:sz w:val="21"/>
                <w:szCs w:val="21"/>
                <w:lang w:val="en-US" w:eastAsia="zh-CN"/>
              </w:rPr>
              <w:t>月</w:t>
            </w:r>
            <w:r>
              <w:rPr>
                <w:rFonts w:hint="eastAsia" w:ascii="宋体" w:hAnsi="宋体" w:eastAsia="宋体" w:cs="宋体"/>
                <w:sz w:val="21"/>
                <w:szCs w:val="21"/>
              </w:rPr>
              <w:t>至少登录 1 次平台的患者数/管理对象总数 ×100%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635" w:type="dxa"/>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both"/>
              <w:textAlignment w:val="auto"/>
              <w:rPr>
                <w:rFonts w:hint="eastAsia" w:ascii="宋体" w:hAnsi="宋体" w:eastAsia="宋体" w:cs="宋体"/>
                <w:b/>
                <w:bCs/>
                <w:sz w:val="21"/>
                <w:szCs w:val="21"/>
                <w:vertAlign w:val="baseline"/>
              </w:rPr>
            </w:pPr>
            <w:r>
              <w:rPr>
                <w:rFonts w:hint="eastAsia" w:ascii="宋体" w:hAnsi="宋体" w:eastAsia="宋体" w:cs="宋体"/>
                <w:sz w:val="21"/>
                <w:szCs w:val="21"/>
              </w:rPr>
              <w:t>B.3.3</w:t>
            </w:r>
          </w:p>
        </w:tc>
        <w:tc>
          <w:tcPr>
            <w:tcW w:w="2259" w:type="dxa"/>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both"/>
              <w:textAlignment w:val="auto"/>
              <w:rPr>
                <w:rFonts w:hint="eastAsia" w:ascii="宋体" w:hAnsi="宋体" w:eastAsia="宋体" w:cs="宋体"/>
                <w:b/>
                <w:bCs/>
                <w:sz w:val="21"/>
                <w:szCs w:val="21"/>
                <w:vertAlign w:val="baseline"/>
              </w:rPr>
            </w:pPr>
            <w:r>
              <w:rPr>
                <w:rFonts w:hint="eastAsia" w:ascii="宋体" w:hAnsi="宋体" w:eastAsia="宋体" w:cs="宋体"/>
                <w:sz w:val="21"/>
                <w:szCs w:val="21"/>
              </w:rPr>
              <w:t>服务响应时间</w:t>
            </w:r>
          </w:p>
        </w:tc>
        <w:tc>
          <w:tcPr>
            <w:tcW w:w="4634" w:type="dxa"/>
          </w:tcPr>
          <w:p>
            <w:pPr>
              <w:keepNext w:val="0"/>
              <w:keepLines w:val="0"/>
              <w:pageBreakBefore w:val="0"/>
              <w:widowControl/>
              <w:kinsoku/>
              <w:wordWrap/>
              <w:overflowPunct/>
              <w:topLinePunct w:val="0"/>
              <w:autoSpaceDE/>
              <w:autoSpaceDN/>
              <w:bidi w:val="0"/>
              <w:adjustRightInd/>
              <w:snapToGrid/>
              <w:spacing w:line="360" w:lineRule="exact"/>
              <w:ind w:left="0" w:leftChars="0" w:firstLine="0" w:firstLineChars="0"/>
              <w:jc w:val="both"/>
              <w:textAlignment w:val="auto"/>
              <w:rPr>
                <w:rFonts w:hint="eastAsia" w:ascii="宋体" w:hAnsi="宋体" w:eastAsia="宋体" w:cs="宋体"/>
                <w:b/>
                <w:bCs/>
                <w:sz w:val="21"/>
                <w:szCs w:val="21"/>
                <w:vertAlign w:val="baseline"/>
              </w:rPr>
            </w:pPr>
            <w:r>
              <w:rPr>
                <w:rFonts w:hint="eastAsia" w:ascii="宋体" w:hAnsi="宋体" w:eastAsia="宋体" w:cs="宋体"/>
                <w:sz w:val="21"/>
                <w:szCs w:val="21"/>
              </w:rPr>
              <w:t>平台咨询请求平均响应时间≤30 分钟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635" w:type="dxa"/>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both"/>
              <w:textAlignment w:val="auto"/>
              <w:rPr>
                <w:rFonts w:hint="eastAsia" w:ascii="宋体" w:hAnsi="宋体" w:eastAsia="宋体" w:cs="宋体"/>
                <w:b/>
                <w:bCs/>
                <w:sz w:val="21"/>
                <w:szCs w:val="21"/>
                <w:vertAlign w:val="baseline"/>
              </w:rPr>
            </w:pPr>
            <w:r>
              <w:rPr>
                <w:rFonts w:hint="eastAsia" w:ascii="宋体" w:hAnsi="宋体" w:eastAsia="宋体" w:cs="宋体"/>
                <w:sz w:val="21"/>
                <w:szCs w:val="21"/>
              </w:rPr>
              <w:t>B.3.4</w:t>
            </w:r>
          </w:p>
        </w:tc>
        <w:tc>
          <w:tcPr>
            <w:tcW w:w="2259" w:type="dxa"/>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both"/>
              <w:textAlignment w:val="auto"/>
              <w:rPr>
                <w:rFonts w:hint="eastAsia" w:ascii="宋体" w:hAnsi="宋体" w:eastAsia="宋体" w:cs="宋体"/>
                <w:b/>
                <w:bCs/>
                <w:sz w:val="21"/>
                <w:szCs w:val="21"/>
                <w:vertAlign w:val="baseline"/>
              </w:rPr>
            </w:pPr>
            <w:r>
              <w:rPr>
                <w:rFonts w:hint="eastAsia" w:ascii="宋体" w:hAnsi="宋体" w:eastAsia="宋体" w:cs="宋体"/>
                <w:sz w:val="21"/>
                <w:szCs w:val="21"/>
              </w:rPr>
              <w:t>数据上传率</w:t>
            </w:r>
          </w:p>
        </w:tc>
        <w:tc>
          <w:tcPr>
            <w:tcW w:w="4634" w:type="dxa"/>
          </w:tcPr>
          <w:p>
            <w:pPr>
              <w:keepNext w:val="0"/>
              <w:keepLines w:val="0"/>
              <w:pageBreakBefore w:val="0"/>
              <w:widowControl/>
              <w:kinsoku/>
              <w:wordWrap/>
              <w:overflowPunct/>
              <w:topLinePunct w:val="0"/>
              <w:autoSpaceDE/>
              <w:autoSpaceDN/>
              <w:bidi w:val="0"/>
              <w:adjustRightInd/>
              <w:snapToGrid/>
              <w:spacing w:line="360" w:lineRule="exact"/>
              <w:ind w:left="0" w:leftChars="0" w:firstLine="0" w:firstLineChars="0"/>
              <w:jc w:val="both"/>
              <w:textAlignment w:val="auto"/>
              <w:rPr>
                <w:rFonts w:hint="eastAsia" w:ascii="宋体" w:hAnsi="宋体" w:eastAsia="宋体" w:cs="宋体"/>
                <w:b/>
                <w:bCs/>
                <w:sz w:val="21"/>
                <w:szCs w:val="21"/>
                <w:vertAlign w:val="baseline"/>
              </w:rPr>
            </w:pPr>
            <w:r>
              <w:rPr>
                <w:rFonts w:hint="eastAsia" w:ascii="宋体" w:hAnsi="宋体" w:eastAsia="宋体" w:cs="宋体"/>
                <w:sz w:val="21"/>
                <w:szCs w:val="21"/>
              </w:rPr>
              <w:t>实现数字化监测数据自动上传的患者数/管理对象总数 ×100%</w:t>
            </w:r>
          </w:p>
        </w:tc>
      </w:tr>
    </w:tbl>
    <w:p>
      <w:pPr>
        <w:widowControl/>
        <w:spacing w:line="360" w:lineRule="exact"/>
        <w:ind w:left="0" w:leftChars="0" w:firstLine="0" w:firstLineChars="0"/>
        <w:jc w:val="both"/>
        <w:rPr>
          <w:rFonts w:hint="eastAsia" w:ascii="宋体" w:hAnsi="宋体" w:eastAsia="宋体" w:cs="宋体"/>
          <w:b/>
          <w:bCs/>
          <w:sz w:val="21"/>
          <w:szCs w:val="21"/>
        </w:rPr>
      </w:pPr>
    </w:p>
    <w:p>
      <w:pPr>
        <w:widowControl/>
        <w:spacing w:line="360" w:lineRule="exact"/>
        <w:ind w:left="0" w:leftChars="0" w:firstLine="0" w:firstLineChars="0"/>
        <w:jc w:val="both"/>
        <w:rPr>
          <w:rFonts w:hint="default" w:ascii="宋体" w:hAnsi="宋体" w:eastAsia="宋体" w:cs="宋体"/>
          <w:b/>
          <w:bCs/>
          <w:sz w:val="21"/>
          <w:szCs w:val="21"/>
          <w:lang w:val="en-US" w:eastAsia="zh-CN"/>
        </w:rPr>
      </w:pPr>
      <w:r>
        <w:rPr>
          <w:rFonts w:hint="eastAsia" w:ascii="宋体" w:hAnsi="宋体" w:eastAsia="宋体" w:cs="宋体"/>
          <w:b/>
          <w:bCs/>
          <w:sz w:val="21"/>
          <w:szCs w:val="21"/>
          <w:lang w:val="en-US" w:eastAsia="zh-CN"/>
        </w:rPr>
        <w:t>B</w:t>
      </w:r>
      <w:r>
        <w:rPr>
          <w:rFonts w:hint="eastAsia" w:ascii="宋体" w:hAnsi="宋体" w:cs="宋体"/>
          <w:b/>
          <w:bCs/>
          <w:sz w:val="21"/>
          <w:szCs w:val="21"/>
          <w:lang w:val="en-US" w:eastAsia="zh-CN"/>
        </w:rPr>
        <w:t>.</w:t>
      </w:r>
      <w:r>
        <w:rPr>
          <w:rFonts w:hint="eastAsia" w:ascii="宋体" w:hAnsi="宋体" w:eastAsia="宋体" w:cs="宋体"/>
          <w:b/>
          <w:bCs/>
          <w:sz w:val="21"/>
          <w:szCs w:val="21"/>
          <w:lang w:val="en-US" w:eastAsia="zh-CN"/>
        </w:rPr>
        <w:t>4 卫生经济学指标</w:t>
      </w:r>
    </w:p>
    <w:p>
      <w:pPr>
        <w:pStyle w:val="3"/>
        <w:rPr>
          <w:rFonts w:hint="default" w:eastAsia="黑体"/>
          <w:lang w:val="en-US" w:eastAsia="zh-CN"/>
        </w:rPr>
      </w:pPr>
      <w:r>
        <w:t xml:space="preserve">表 </w:t>
      </w:r>
      <w:r>
        <w:fldChar w:fldCharType="begin"/>
      </w:r>
      <w:r>
        <w:instrText xml:space="preserve"> SEQ 表 \* ARABIC </w:instrText>
      </w:r>
      <w:r>
        <w:fldChar w:fldCharType="separate"/>
      </w:r>
      <w:r>
        <w:t>4</w:t>
      </w:r>
      <w:r>
        <w:fldChar w:fldCharType="end"/>
      </w:r>
      <w:r>
        <w:rPr>
          <w:rFonts w:hint="eastAsia"/>
          <w:lang w:val="en-US" w:eastAsia="zh-CN"/>
        </w:rPr>
        <w:t xml:space="preserve"> 卫生经济学指标及计算方法</w:t>
      </w:r>
    </w:p>
    <w:tbl>
      <w:tblPr>
        <w:tblStyle w:val="14"/>
        <w:tblW w:w="85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6"/>
        <w:gridCol w:w="1542"/>
        <w:gridCol w:w="58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26" w:type="dxa"/>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bottom"/>
              <w:rPr>
                <w:rFonts w:hint="default" w:ascii="Times New Roman" w:hAnsi="Times New Roman" w:eastAsia="宋体" w:cs="Times New Roman"/>
                <w:b w:val="0"/>
                <w:bCs w:val="0"/>
                <w:sz w:val="21"/>
                <w:szCs w:val="21"/>
                <w:vertAlign w:val="baseline"/>
              </w:rPr>
            </w:pPr>
            <w:r>
              <w:rPr>
                <w:rFonts w:hint="default" w:ascii="Times New Roman" w:hAnsi="Times New Roman" w:eastAsia="宋体" w:cs="Times New Roman"/>
                <w:b w:val="0"/>
                <w:bCs w:val="0"/>
                <w:i w:val="0"/>
                <w:iCs w:val="0"/>
                <w:color w:val="000000"/>
                <w:kern w:val="0"/>
                <w:sz w:val="21"/>
                <w:szCs w:val="21"/>
                <w:u w:val="none"/>
                <w:lang w:val="en-US" w:eastAsia="zh-CN" w:bidi="ar"/>
              </w:rPr>
              <w:t>序号</w:t>
            </w:r>
          </w:p>
        </w:tc>
        <w:tc>
          <w:tcPr>
            <w:tcW w:w="1542" w:type="dxa"/>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bottom"/>
              <w:rPr>
                <w:rFonts w:hint="default" w:ascii="Times New Roman" w:hAnsi="Times New Roman" w:eastAsia="宋体" w:cs="Times New Roman"/>
                <w:b w:val="0"/>
                <w:bCs w:val="0"/>
                <w:sz w:val="21"/>
                <w:szCs w:val="21"/>
                <w:vertAlign w:val="baseline"/>
              </w:rPr>
            </w:pPr>
            <w:r>
              <w:rPr>
                <w:rFonts w:hint="default" w:ascii="Times New Roman" w:hAnsi="Times New Roman" w:eastAsia="宋体" w:cs="Times New Roman"/>
                <w:b w:val="0"/>
                <w:bCs w:val="0"/>
                <w:i w:val="0"/>
                <w:iCs w:val="0"/>
                <w:color w:val="000000"/>
                <w:kern w:val="0"/>
                <w:sz w:val="21"/>
                <w:szCs w:val="21"/>
                <w:u w:val="none"/>
                <w:lang w:val="en-US" w:eastAsia="zh-CN" w:bidi="ar"/>
              </w:rPr>
              <w:t>指标</w:t>
            </w:r>
          </w:p>
        </w:tc>
        <w:tc>
          <w:tcPr>
            <w:tcW w:w="5860" w:type="dxa"/>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bottom"/>
              <w:rPr>
                <w:rFonts w:hint="default" w:ascii="Times New Roman" w:hAnsi="Times New Roman" w:eastAsia="宋体" w:cs="Times New Roman"/>
                <w:b w:val="0"/>
                <w:bCs w:val="0"/>
                <w:sz w:val="21"/>
                <w:szCs w:val="21"/>
                <w:vertAlign w:val="baseline"/>
              </w:rPr>
            </w:pPr>
            <w:r>
              <w:rPr>
                <w:rFonts w:hint="default" w:ascii="Times New Roman" w:hAnsi="Times New Roman" w:eastAsia="宋体" w:cs="Times New Roman"/>
                <w:b w:val="0"/>
                <w:bCs w:val="0"/>
                <w:i w:val="0"/>
                <w:iCs w:val="0"/>
                <w:color w:val="000000"/>
                <w:kern w:val="0"/>
                <w:sz w:val="21"/>
                <w:szCs w:val="21"/>
                <w:u w:val="none"/>
                <w:lang w:val="en-US" w:eastAsia="zh-CN" w:bidi="ar"/>
              </w:rPr>
              <w:t>计算方法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26" w:type="dxa"/>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bottom"/>
              <w:rPr>
                <w:rFonts w:hint="default" w:ascii="Times New Roman" w:hAnsi="Times New Roman" w:eastAsia="宋体" w:cs="Times New Roman"/>
                <w:b w:val="0"/>
                <w:bCs w:val="0"/>
                <w:sz w:val="21"/>
                <w:szCs w:val="21"/>
                <w:vertAlign w:val="baseline"/>
              </w:rPr>
            </w:pPr>
            <w:r>
              <w:rPr>
                <w:rFonts w:hint="default" w:ascii="Times New Roman" w:hAnsi="Times New Roman" w:eastAsia="宋体" w:cs="Times New Roman"/>
                <w:b w:val="0"/>
                <w:bCs w:val="0"/>
                <w:i w:val="0"/>
                <w:iCs w:val="0"/>
                <w:color w:val="000000"/>
                <w:kern w:val="0"/>
                <w:sz w:val="21"/>
                <w:szCs w:val="21"/>
                <w:u w:val="none"/>
                <w:lang w:val="en-US" w:eastAsia="zh-CN" w:bidi="ar"/>
              </w:rPr>
              <w:t>B.4.1</w:t>
            </w:r>
          </w:p>
        </w:tc>
        <w:tc>
          <w:tcPr>
            <w:tcW w:w="1542" w:type="dxa"/>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bottom"/>
              <w:rPr>
                <w:rFonts w:hint="default" w:ascii="Times New Roman" w:hAnsi="Times New Roman" w:eastAsia="宋体" w:cs="Times New Roman"/>
                <w:b w:val="0"/>
                <w:bCs w:val="0"/>
                <w:sz w:val="21"/>
                <w:szCs w:val="21"/>
                <w:vertAlign w:val="baseline"/>
              </w:rPr>
            </w:pPr>
            <w:r>
              <w:rPr>
                <w:rFonts w:hint="default" w:ascii="Times New Roman" w:hAnsi="Times New Roman" w:eastAsia="宋体" w:cs="Times New Roman"/>
                <w:b w:val="0"/>
                <w:bCs w:val="0"/>
                <w:i w:val="0"/>
                <w:iCs w:val="0"/>
                <w:color w:val="000000"/>
                <w:kern w:val="0"/>
                <w:sz w:val="21"/>
                <w:szCs w:val="21"/>
                <w:u w:val="none"/>
                <w:lang w:val="en-US" w:eastAsia="zh-CN" w:bidi="ar"/>
              </w:rPr>
              <w:t>人均管理成本变动率</w:t>
            </w:r>
          </w:p>
        </w:tc>
        <w:tc>
          <w:tcPr>
            <w:tcW w:w="5860" w:type="dxa"/>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bottom"/>
              <w:rPr>
                <w:rFonts w:hint="default" w:ascii="Times New Roman" w:hAnsi="Times New Roman" w:eastAsia="宋体" w:cs="Times New Roman"/>
                <w:b w:val="0"/>
                <w:bCs w:val="0"/>
                <w:sz w:val="21"/>
                <w:szCs w:val="21"/>
                <w:vertAlign w:val="baseline"/>
              </w:rPr>
            </w:pPr>
            <w:r>
              <w:rPr>
                <w:rFonts w:hint="default" w:ascii="Times New Roman" w:hAnsi="Times New Roman" w:eastAsia="宋体" w:cs="Times New Roman"/>
                <w:b w:val="0"/>
                <w:bCs w:val="0"/>
                <w:i w:val="0"/>
                <w:iCs w:val="0"/>
                <w:color w:val="000000"/>
                <w:kern w:val="0"/>
                <w:sz w:val="21"/>
                <w:szCs w:val="21"/>
                <w:u w:val="none"/>
                <w:lang w:val="en-US" w:eastAsia="zh-CN" w:bidi="ar"/>
              </w:rPr>
              <w:t>本年度管理对象人均数字化管理服务成本</w:t>
            </w:r>
            <w:r>
              <w:rPr>
                <w:rStyle w:val="37"/>
                <w:rFonts w:hint="default" w:ascii="Times New Roman" w:hAnsi="Times New Roman" w:eastAsia="宋体" w:cs="Times New Roman"/>
                <w:b w:val="0"/>
                <w:bCs w:val="0"/>
                <w:sz w:val="21"/>
                <w:szCs w:val="21"/>
                <w:lang w:val="en-US" w:eastAsia="zh-CN" w:bidi="ar"/>
              </w:rPr>
              <w:t>−</w:t>
            </w:r>
            <w:r>
              <w:rPr>
                <w:rStyle w:val="38"/>
                <w:rFonts w:hint="default" w:ascii="Times New Roman" w:hAnsi="Times New Roman" w:cs="Times New Roman"/>
                <w:b w:val="0"/>
                <w:bCs w:val="0"/>
                <w:sz w:val="21"/>
                <w:szCs w:val="21"/>
                <w:lang w:val="en-US" w:eastAsia="zh-CN" w:bidi="ar"/>
              </w:rPr>
              <w:t>上年度人均管理成本/上年度人均管理成本</w:t>
            </w:r>
            <w:r>
              <w:rPr>
                <w:rStyle w:val="37"/>
                <w:rFonts w:hint="default" w:ascii="Times New Roman" w:hAnsi="Times New Roman" w:eastAsia="宋体" w:cs="Times New Roman"/>
                <w:b w:val="0"/>
                <w:bCs w:val="0"/>
                <w:sz w:val="21"/>
                <w:szCs w:val="21"/>
                <w:lang w:val="en-US" w:eastAsia="zh-CN" w:bidi="ar"/>
              </w:rPr>
              <w:t>​×100%</w:t>
            </w:r>
            <w:r>
              <w:rPr>
                <w:rStyle w:val="37"/>
                <w:rFonts w:hint="eastAsia" w:ascii="Times New Roman" w:hAnsi="Times New Roman" w:cs="Times New Roman"/>
                <w:b w:val="0"/>
                <w:bCs w:val="0"/>
                <w:sz w:val="21"/>
                <w:szCs w:val="21"/>
                <w:lang w:val="en-US" w:eastAsia="zh-CN" w:bidi="ar"/>
              </w:rPr>
              <w:t xml:space="preserve">  </w:t>
            </w:r>
            <w:r>
              <w:rPr>
                <w:rStyle w:val="37"/>
                <w:rFonts w:hint="default" w:ascii="Times New Roman" w:hAnsi="Times New Roman" w:eastAsia="宋体" w:cs="Times New Roman"/>
                <w:b w:val="0"/>
                <w:bCs w:val="0"/>
                <w:sz w:val="21"/>
                <w:szCs w:val="21"/>
                <w:lang w:val="en-US" w:eastAsia="zh-CN" w:bidi="ar"/>
              </w:rPr>
              <w:t>(</w:t>
            </w:r>
            <w:r>
              <w:rPr>
                <w:rStyle w:val="38"/>
                <w:rFonts w:hint="default" w:ascii="Times New Roman" w:hAnsi="Times New Roman" w:cs="Times New Roman"/>
                <w:b w:val="0"/>
                <w:bCs w:val="0"/>
                <w:sz w:val="21"/>
                <w:szCs w:val="21"/>
                <w:lang w:val="en-US" w:eastAsia="zh-CN" w:bidi="ar"/>
              </w:rPr>
              <w:t>注：成本含平台使用费、物联网设备及人工管理费</w:t>
            </w:r>
            <w:r>
              <w:rPr>
                <w:rStyle w:val="37"/>
                <w:rFonts w:hint="default" w:ascii="Times New Roman" w:hAnsi="Times New Roman" w:eastAsia="宋体" w:cs="Times New Roman"/>
                <w:b w:val="0"/>
                <w:bCs w:val="0"/>
                <w:sz w:val="21"/>
                <w:szCs w:val="21"/>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26" w:type="dxa"/>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bottom"/>
              <w:rPr>
                <w:rFonts w:hint="default" w:ascii="Times New Roman" w:hAnsi="Times New Roman" w:eastAsia="宋体" w:cs="Times New Roman"/>
                <w:b w:val="0"/>
                <w:bCs w:val="0"/>
                <w:sz w:val="21"/>
                <w:szCs w:val="21"/>
                <w:vertAlign w:val="baseline"/>
              </w:rPr>
            </w:pPr>
            <w:r>
              <w:rPr>
                <w:rFonts w:hint="default" w:ascii="Times New Roman" w:hAnsi="Times New Roman" w:eastAsia="宋体" w:cs="Times New Roman"/>
                <w:b w:val="0"/>
                <w:bCs w:val="0"/>
                <w:i w:val="0"/>
                <w:iCs w:val="0"/>
                <w:color w:val="000000"/>
                <w:kern w:val="0"/>
                <w:sz w:val="21"/>
                <w:szCs w:val="21"/>
                <w:u w:val="none"/>
                <w:lang w:val="en-US" w:eastAsia="zh-CN" w:bidi="ar"/>
              </w:rPr>
              <w:t>B.4.2</w:t>
            </w:r>
          </w:p>
        </w:tc>
        <w:tc>
          <w:tcPr>
            <w:tcW w:w="1542" w:type="dxa"/>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bottom"/>
              <w:rPr>
                <w:rFonts w:hint="default" w:ascii="Times New Roman" w:hAnsi="Times New Roman" w:eastAsia="宋体" w:cs="Times New Roman"/>
                <w:b w:val="0"/>
                <w:bCs w:val="0"/>
                <w:sz w:val="21"/>
                <w:szCs w:val="21"/>
                <w:vertAlign w:val="baseline"/>
              </w:rPr>
            </w:pPr>
            <w:r>
              <w:rPr>
                <w:rFonts w:hint="default" w:ascii="Times New Roman" w:hAnsi="Times New Roman" w:eastAsia="宋体" w:cs="Times New Roman"/>
                <w:b w:val="0"/>
                <w:bCs w:val="0"/>
                <w:i w:val="0"/>
                <w:iCs w:val="0"/>
                <w:color w:val="000000"/>
                <w:kern w:val="0"/>
                <w:sz w:val="21"/>
                <w:szCs w:val="21"/>
                <w:u w:val="none"/>
                <w:lang w:val="en-US" w:eastAsia="zh-CN" w:bidi="ar"/>
              </w:rPr>
              <w:t>门诊</w:t>
            </w:r>
            <w:r>
              <w:rPr>
                <w:rStyle w:val="37"/>
                <w:rFonts w:hint="default" w:ascii="Times New Roman" w:hAnsi="Times New Roman" w:eastAsia="宋体" w:cs="Times New Roman"/>
                <w:b w:val="0"/>
                <w:bCs w:val="0"/>
                <w:sz w:val="21"/>
                <w:szCs w:val="21"/>
                <w:lang w:val="en-US" w:eastAsia="zh-CN" w:bidi="ar"/>
              </w:rPr>
              <w:t>/</w:t>
            </w:r>
            <w:r>
              <w:rPr>
                <w:rStyle w:val="38"/>
                <w:rFonts w:hint="default" w:ascii="Times New Roman" w:hAnsi="Times New Roman" w:cs="Times New Roman"/>
                <w:b w:val="0"/>
                <w:bCs w:val="0"/>
                <w:sz w:val="21"/>
                <w:szCs w:val="21"/>
                <w:lang w:val="en-US" w:eastAsia="zh-CN" w:bidi="ar"/>
              </w:rPr>
              <w:t>住院总费用下降率</w:t>
            </w:r>
          </w:p>
        </w:tc>
        <w:tc>
          <w:tcPr>
            <w:tcW w:w="5860" w:type="dxa"/>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bottom"/>
              <w:rPr>
                <w:rFonts w:hint="default" w:ascii="Times New Roman" w:hAnsi="Times New Roman" w:eastAsia="宋体" w:cs="Times New Roman"/>
                <w:b w:val="0"/>
                <w:bCs w:val="0"/>
                <w:sz w:val="21"/>
                <w:szCs w:val="21"/>
                <w:vertAlign w:val="baseline"/>
              </w:rPr>
            </w:pPr>
            <w:r>
              <w:rPr>
                <w:rFonts w:hint="default" w:ascii="Times New Roman" w:hAnsi="Times New Roman" w:eastAsia="宋体" w:cs="Times New Roman"/>
                <w:b w:val="0"/>
                <w:bCs w:val="0"/>
                <w:i w:val="0"/>
                <w:iCs w:val="0"/>
                <w:color w:val="000000"/>
                <w:kern w:val="0"/>
                <w:sz w:val="21"/>
                <w:szCs w:val="21"/>
                <w:u w:val="none"/>
                <w:lang w:val="en-US" w:eastAsia="zh-CN" w:bidi="ar"/>
              </w:rPr>
              <w:t>管理前一年管理对象总医疗费用</w:t>
            </w:r>
            <w:r>
              <w:rPr>
                <w:rStyle w:val="37"/>
                <w:rFonts w:hint="default" w:ascii="Times New Roman" w:hAnsi="Times New Roman" w:eastAsia="宋体" w:cs="Times New Roman"/>
                <w:b w:val="0"/>
                <w:bCs w:val="0"/>
                <w:sz w:val="21"/>
                <w:szCs w:val="21"/>
                <w:lang w:val="en-US" w:eastAsia="zh-CN" w:bidi="ar"/>
              </w:rPr>
              <w:t>−</w:t>
            </w:r>
            <w:r>
              <w:rPr>
                <w:rStyle w:val="38"/>
                <w:rFonts w:hint="default" w:ascii="Times New Roman" w:hAnsi="Times New Roman" w:cs="Times New Roman"/>
                <w:b w:val="0"/>
                <w:bCs w:val="0"/>
                <w:sz w:val="21"/>
                <w:szCs w:val="21"/>
                <w:lang w:val="en-US" w:eastAsia="zh-CN" w:bidi="ar"/>
              </w:rPr>
              <w:t>管理满一年后总医疗费用/管理前一年管理对象总医疗费用</w:t>
            </w:r>
            <w:r>
              <w:rPr>
                <w:rStyle w:val="37"/>
                <w:rFonts w:hint="default" w:ascii="Times New Roman" w:hAnsi="Times New Roman" w:eastAsia="宋体" w:cs="Times New Roman"/>
                <w:b w:val="0"/>
                <w:bCs w:val="0"/>
                <w:sz w:val="21"/>
                <w:szCs w:val="21"/>
                <w:lang w:val="en-US" w:eastAsia="zh-CN" w:bidi="ar"/>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26" w:type="dxa"/>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bottom"/>
              <w:rPr>
                <w:rFonts w:hint="default" w:ascii="Times New Roman" w:hAnsi="Times New Roman" w:eastAsia="宋体" w:cs="Times New Roman"/>
                <w:b w:val="0"/>
                <w:bCs w:val="0"/>
                <w:sz w:val="21"/>
                <w:szCs w:val="21"/>
                <w:vertAlign w:val="baseline"/>
              </w:rPr>
            </w:pPr>
            <w:r>
              <w:rPr>
                <w:rFonts w:hint="default" w:ascii="Times New Roman" w:hAnsi="Times New Roman" w:eastAsia="宋体" w:cs="Times New Roman"/>
                <w:b w:val="0"/>
                <w:bCs w:val="0"/>
                <w:i w:val="0"/>
                <w:iCs w:val="0"/>
                <w:color w:val="000000"/>
                <w:kern w:val="0"/>
                <w:sz w:val="21"/>
                <w:szCs w:val="21"/>
                <w:u w:val="none"/>
                <w:lang w:val="en-US" w:eastAsia="zh-CN" w:bidi="ar"/>
              </w:rPr>
              <w:t>B.4.3</w:t>
            </w:r>
          </w:p>
        </w:tc>
        <w:tc>
          <w:tcPr>
            <w:tcW w:w="1542" w:type="dxa"/>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bottom"/>
              <w:rPr>
                <w:rFonts w:hint="default" w:ascii="Times New Roman" w:hAnsi="Times New Roman" w:eastAsia="宋体" w:cs="Times New Roman"/>
                <w:b w:val="0"/>
                <w:bCs w:val="0"/>
                <w:sz w:val="21"/>
                <w:szCs w:val="21"/>
                <w:vertAlign w:val="baseline"/>
              </w:rPr>
            </w:pPr>
            <w:r>
              <w:rPr>
                <w:rFonts w:hint="default" w:ascii="Times New Roman" w:hAnsi="Times New Roman" w:eastAsia="宋体" w:cs="Times New Roman"/>
                <w:b w:val="0"/>
                <w:bCs w:val="0"/>
                <w:i w:val="0"/>
                <w:iCs w:val="0"/>
                <w:color w:val="000000"/>
                <w:kern w:val="0"/>
                <w:sz w:val="21"/>
                <w:szCs w:val="21"/>
                <w:u w:val="none"/>
                <w:lang w:val="en-US" w:eastAsia="zh-CN" w:bidi="ar"/>
              </w:rPr>
              <w:t>医保基金支出节省率</w:t>
            </w:r>
          </w:p>
        </w:tc>
        <w:tc>
          <w:tcPr>
            <w:tcW w:w="5860" w:type="dxa"/>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bottom"/>
              <w:rPr>
                <w:rFonts w:hint="default" w:ascii="Times New Roman" w:hAnsi="Times New Roman" w:eastAsia="宋体" w:cs="Times New Roman"/>
                <w:b w:val="0"/>
                <w:bCs w:val="0"/>
                <w:sz w:val="21"/>
                <w:szCs w:val="21"/>
                <w:vertAlign w:val="baseline"/>
              </w:rPr>
            </w:pPr>
            <w:r>
              <w:rPr>
                <w:rFonts w:hint="default" w:ascii="Times New Roman" w:hAnsi="Times New Roman" w:eastAsia="宋体" w:cs="Times New Roman"/>
                <w:b w:val="0"/>
                <w:bCs w:val="0"/>
                <w:i w:val="0"/>
                <w:iCs w:val="0"/>
                <w:color w:val="000000"/>
                <w:kern w:val="0"/>
                <w:sz w:val="21"/>
                <w:szCs w:val="21"/>
                <w:u w:val="none"/>
                <w:lang w:val="en-US" w:eastAsia="zh-CN" w:bidi="ar"/>
              </w:rPr>
              <w:t>预期医保基金总支出（对比同期非管理人群）</w:t>
            </w:r>
            <w:r>
              <w:rPr>
                <w:rStyle w:val="37"/>
                <w:rFonts w:hint="default" w:ascii="Times New Roman" w:hAnsi="Times New Roman" w:eastAsia="宋体" w:cs="Times New Roman"/>
                <w:b w:val="0"/>
                <w:bCs w:val="0"/>
                <w:sz w:val="21"/>
                <w:szCs w:val="21"/>
                <w:lang w:val="en-US" w:eastAsia="zh-CN" w:bidi="ar"/>
              </w:rPr>
              <w:t>−</w:t>
            </w:r>
            <w:r>
              <w:rPr>
                <w:rStyle w:val="38"/>
                <w:rFonts w:hint="default" w:ascii="Times New Roman" w:hAnsi="Times New Roman" w:cs="Times New Roman"/>
                <w:b w:val="0"/>
                <w:bCs w:val="0"/>
                <w:sz w:val="21"/>
                <w:szCs w:val="21"/>
                <w:lang w:val="en-US" w:eastAsia="zh-CN" w:bidi="ar"/>
              </w:rPr>
              <w:t>管理后实际医保基金总支出/预期医保基金总支出</w:t>
            </w:r>
            <w:r>
              <w:rPr>
                <w:rStyle w:val="37"/>
                <w:rFonts w:hint="default" w:ascii="Times New Roman" w:hAnsi="Times New Roman" w:eastAsia="宋体" w:cs="Times New Roman"/>
                <w:b w:val="0"/>
                <w:bCs w:val="0"/>
                <w:sz w:val="21"/>
                <w:szCs w:val="21"/>
                <w:lang w:val="en-US" w:eastAsia="zh-CN" w:bidi="ar"/>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26" w:type="dxa"/>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bottom"/>
              <w:rPr>
                <w:rFonts w:hint="default" w:ascii="Times New Roman" w:hAnsi="Times New Roman" w:eastAsia="宋体" w:cs="Times New Roman"/>
                <w:b w:val="0"/>
                <w:bCs w:val="0"/>
                <w:sz w:val="21"/>
                <w:szCs w:val="21"/>
                <w:vertAlign w:val="baseline"/>
              </w:rPr>
            </w:pPr>
            <w:r>
              <w:rPr>
                <w:rFonts w:hint="default" w:ascii="Times New Roman" w:hAnsi="Times New Roman" w:eastAsia="宋体" w:cs="Times New Roman"/>
                <w:b w:val="0"/>
                <w:bCs w:val="0"/>
                <w:i w:val="0"/>
                <w:iCs w:val="0"/>
                <w:color w:val="000000"/>
                <w:kern w:val="0"/>
                <w:sz w:val="21"/>
                <w:szCs w:val="21"/>
                <w:u w:val="none"/>
                <w:lang w:val="en-US" w:eastAsia="zh-CN" w:bidi="ar"/>
              </w:rPr>
              <w:t>B.4.4</w:t>
            </w:r>
          </w:p>
        </w:tc>
        <w:tc>
          <w:tcPr>
            <w:tcW w:w="1542" w:type="dxa"/>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bottom"/>
              <w:rPr>
                <w:rFonts w:hint="default" w:ascii="Times New Roman" w:hAnsi="Times New Roman" w:eastAsia="宋体" w:cs="Times New Roman"/>
                <w:b w:val="0"/>
                <w:bCs w:val="0"/>
                <w:sz w:val="21"/>
                <w:szCs w:val="21"/>
                <w:vertAlign w:val="baseline"/>
              </w:rPr>
            </w:pPr>
            <w:r>
              <w:rPr>
                <w:rFonts w:hint="default" w:ascii="Times New Roman" w:hAnsi="Times New Roman" w:eastAsia="宋体" w:cs="Times New Roman"/>
                <w:b w:val="0"/>
                <w:bCs w:val="0"/>
                <w:i w:val="0"/>
                <w:iCs w:val="0"/>
                <w:color w:val="000000"/>
                <w:kern w:val="0"/>
                <w:sz w:val="21"/>
                <w:szCs w:val="21"/>
                <w:u w:val="none"/>
                <w:lang w:val="en-US" w:eastAsia="zh-CN" w:bidi="ar"/>
              </w:rPr>
              <w:t>并发症相关治疗费用占比</w:t>
            </w:r>
          </w:p>
        </w:tc>
        <w:tc>
          <w:tcPr>
            <w:tcW w:w="5860" w:type="dxa"/>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bottom"/>
              <w:rPr>
                <w:rFonts w:hint="default" w:ascii="Times New Roman" w:hAnsi="Times New Roman" w:eastAsia="宋体" w:cs="Times New Roman"/>
                <w:b w:val="0"/>
                <w:bCs w:val="0"/>
                <w:sz w:val="21"/>
                <w:szCs w:val="21"/>
                <w:vertAlign w:val="baseline"/>
              </w:rPr>
            </w:pPr>
            <w:r>
              <w:rPr>
                <w:rFonts w:hint="default" w:ascii="Times New Roman" w:hAnsi="Times New Roman" w:eastAsia="宋体" w:cs="Times New Roman"/>
                <w:b w:val="0"/>
                <w:bCs w:val="0"/>
                <w:i w:val="0"/>
                <w:iCs w:val="0"/>
                <w:color w:val="000000"/>
                <w:kern w:val="0"/>
                <w:sz w:val="21"/>
                <w:szCs w:val="21"/>
                <w:u w:val="none"/>
                <w:lang w:val="en-US" w:eastAsia="zh-CN" w:bidi="ar"/>
              </w:rPr>
              <w:t>管理期间因糖尿病并发症产生的总费用/管理期间糖尿病相关医疗总费用</w:t>
            </w:r>
            <w:r>
              <w:rPr>
                <w:rStyle w:val="37"/>
                <w:rFonts w:hint="default" w:ascii="Times New Roman" w:hAnsi="Times New Roman" w:eastAsia="宋体" w:cs="Times New Roman"/>
                <w:b w:val="0"/>
                <w:bCs w:val="0"/>
                <w:sz w:val="21"/>
                <w:szCs w:val="21"/>
                <w:lang w:val="en-US" w:eastAsia="zh-CN" w:bidi="ar"/>
              </w:rPr>
              <w:t>​×100%</w:t>
            </w:r>
          </w:p>
        </w:tc>
      </w:tr>
    </w:tbl>
    <w:p>
      <w:pPr>
        <w:widowControl/>
        <w:spacing w:line="360" w:lineRule="exact"/>
        <w:ind w:left="0" w:leftChars="0" w:firstLine="0" w:firstLineChars="0"/>
        <w:jc w:val="both"/>
        <w:rPr>
          <w:rFonts w:hint="eastAsia" w:ascii="宋体" w:hAnsi="宋体" w:eastAsia="宋体" w:cs="宋体"/>
          <w:b/>
          <w:bCs/>
          <w:sz w:val="21"/>
          <w:szCs w:val="21"/>
        </w:rPr>
      </w:pPr>
    </w:p>
    <w:p>
      <w:pPr>
        <w:widowControl/>
        <w:spacing w:line="360" w:lineRule="exact"/>
        <w:jc w:val="left"/>
        <w:rPr>
          <w:rFonts w:ascii="仿宋" w:hAnsi="仿宋" w:eastAsia="仿宋"/>
          <w:sz w:val="30"/>
          <w:szCs w:val="30"/>
        </w:rPr>
      </w:pPr>
    </w:p>
    <w:p>
      <w:pPr>
        <w:rPr>
          <w:rFonts w:ascii="仿宋" w:hAnsi="仿宋" w:eastAsia="仿宋"/>
          <w:sz w:val="30"/>
          <w:szCs w:val="30"/>
        </w:rPr>
        <w:sectPr>
          <w:footerReference r:id="rId11" w:type="default"/>
          <w:pgSz w:w="11906" w:h="16838"/>
          <w:pgMar w:top="1440" w:right="1797" w:bottom="1440" w:left="1797" w:header="851" w:footer="992" w:gutter="0"/>
          <w:pgNumType w:start="1"/>
          <w:cols w:space="425" w:num="1"/>
          <w:docGrid w:linePitch="312" w:charSpace="0"/>
        </w:sectPr>
      </w:pPr>
    </w:p>
    <w:p>
      <w:pPr>
        <w:pStyle w:val="18"/>
        <w:keepNext w:val="0"/>
        <w:keepLines w:val="0"/>
        <w:pageBreakBefore w:val="0"/>
        <w:widowControl/>
        <w:shd w:val="clear" w:color="FFFFFF" w:fill="FFFFFF"/>
        <w:kinsoku/>
        <w:wordWrap/>
        <w:overflowPunct/>
        <w:topLinePunct w:val="0"/>
        <w:autoSpaceDE/>
        <w:autoSpaceDN/>
        <w:bidi w:val="0"/>
        <w:adjustRightInd/>
        <w:snapToGrid/>
        <w:spacing w:before="0" w:after="120"/>
        <w:textAlignment w:val="auto"/>
        <w:rPr>
          <w:rFonts w:hint="eastAsia"/>
          <w:b/>
          <w:bCs/>
        </w:rPr>
      </w:pPr>
      <w:bookmarkStart w:id="32" w:name="_Toc13740"/>
      <w:bookmarkStart w:id="33" w:name="_Toc509933873"/>
      <w:bookmarkStart w:id="34" w:name="_Toc510534552"/>
      <w:r>
        <w:rPr>
          <w:rFonts w:hint="eastAsia"/>
          <w:b/>
          <w:bCs/>
        </w:rPr>
        <w:t>参 考 文 献</w:t>
      </w:r>
      <w:bookmarkEnd w:id="32"/>
      <w:bookmarkEnd w:id="33"/>
      <w:bookmarkEnd w:id="34"/>
    </w:p>
    <w:p>
      <w:pPr>
        <w:numPr>
          <w:ilvl w:val="0"/>
          <w:numId w:val="4"/>
        </w:numPr>
        <w:ind w:left="0" w:leftChars="0" w:firstLine="0" w:firstLineChars="0"/>
        <w:jc w:val="left"/>
        <w:rPr>
          <w:rFonts w:hint="eastAsia" w:ascii="宋体" w:hAnsi="宋体" w:eastAsia="宋体"/>
          <w:szCs w:val="21"/>
        </w:rPr>
      </w:pPr>
      <w:r>
        <w:rPr>
          <w:rFonts w:hint="eastAsia" w:ascii="宋体" w:hAnsi="宋体"/>
          <w:szCs w:val="21"/>
          <w:lang w:val="en-US" w:eastAsia="zh-CN"/>
        </w:rPr>
        <w:t>中华医学会糖尿病学分会. 中国糖尿病防治指南（2024版）[J].中华糖尿病杂志,2025,17(01)：16-139.</w:t>
      </w:r>
    </w:p>
    <w:p>
      <w:pPr>
        <w:numPr>
          <w:ilvl w:val="0"/>
          <w:numId w:val="4"/>
        </w:numPr>
        <w:ind w:left="0" w:leftChars="0" w:firstLine="0" w:firstLineChars="0"/>
        <w:jc w:val="left"/>
        <w:rPr>
          <w:rFonts w:hint="eastAsia" w:ascii="宋体" w:hAnsi="宋体" w:eastAsia="宋体"/>
          <w:szCs w:val="21"/>
        </w:rPr>
      </w:pPr>
      <w:r>
        <w:rPr>
          <w:rFonts w:hint="eastAsia" w:ascii="宋体" w:hAnsi="宋体" w:eastAsia="宋体"/>
          <w:szCs w:val="21"/>
        </w:rPr>
        <w:t>中华预防医学会糖尿病预防与控制专业委员会. 中国糖尿病行为与生活方式干预指南（2024版）[J]. 中国全科医学, 2025, 28(07): 777-796.</w:t>
      </w:r>
    </w:p>
    <w:p>
      <w:pPr>
        <w:numPr>
          <w:ilvl w:val="0"/>
          <w:numId w:val="4"/>
        </w:numPr>
        <w:ind w:left="0" w:leftChars="0" w:firstLine="0" w:firstLineChars="0"/>
        <w:jc w:val="left"/>
        <w:rPr>
          <w:rFonts w:hint="eastAsia" w:ascii="宋体" w:hAnsi="宋体" w:eastAsia="宋体"/>
          <w:szCs w:val="21"/>
        </w:rPr>
      </w:pPr>
      <w:r>
        <w:rPr>
          <w:rFonts w:hint="eastAsia" w:ascii="宋体" w:hAnsi="宋体" w:eastAsia="宋体"/>
          <w:szCs w:val="21"/>
        </w:rPr>
        <w:t>DB4401/T 304.5—2024</w:t>
      </w:r>
      <w:r>
        <w:rPr>
          <w:rFonts w:hint="eastAsia" w:ascii="宋体" w:hAnsi="宋体"/>
          <w:szCs w:val="21"/>
          <w:lang w:val="en-US" w:eastAsia="zh-CN"/>
        </w:rPr>
        <w:t>.卫生健康数据采集规范第5 部分：慢性病管理</w:t>
      </w:r>
    </w:p>
    <w:p>
      <w:pPr>
        <w:numPr>
          <w:ilvl w:val="0"/>
          <w:numId w:val="4"/>
        </w:numPr>
        <w:ind w:left="0" w:leftChars="0" w:firstLine="0" w:firstLineChars="0"/>
        <w:jc w:val="left"/>
        <w:rPr>
          <w:rFonts w:hint="eastAsia" w:ascii="宋体" w:hAnsi="宋体" w:eastAsia="宋体"/>
          <w:szCs w:val="21"/>
        </w:rPr>
      </w:pPr>
      <w:r>
        <w:rPr>
          <w:rFonts w:hint="eastAsia" w:ascii="宋体" w:hAnsi="宋体" w:eastAsia="宋体"/>
          <w:szCs w:val="21"/>
        </w:rPr>
        <w:t>赵梦娇,沈华娟,董永泽,等. 数字健康在糖尿病管理中的应用进展[J]. 中华糖尿病杂志,2024,16(05)：586-589.</w:t>
      </w:r>
    </w:p>
    <w:p>
      <w:pPr>
        <w:numPr>
          <w:ilvl w:val="0"/>
          <w:numId w:val="4"/>
        </w:numPr>
        <w:ind w:left="0" w:leftChars="0" w:firstLine="0" w:firstLineChars="0"/>
        <w:jc w:val="left"/>
        <w:rPr>
          <w:rFonts w:hint="eastAsia" w:ascii="宋体" w:hAnsi="宋体" w:eastAsia="宋体"/>
          <w:szCs w:val="21"/>
        </w:rPr>
      </w:pPr>
      <w:r>
        <w:rPr>
          <w:rFonts w:hint="eastAsia" w:ascii="宋体" w:hAnsi="宋体" w:eastAsia="宋体" w:cs="宋体"/>
          <w:sz w:val="21"/>
          <w:szCs w:val="21"/>
        </w:rPr>
        <w:t>World Health Organization</w:t>
      </w:r>
      <w:r>
        <w:rPr>
          <w:rFonts w:hint="eastAsia" w:ascii="宋体" w:hAnsi="宋体" w:cs="宋体"/>
          <w:sz w:val="21"/>
          <w:szCs w:val="21"/>
          <w:lang w:val="en-US" w:eastAsia="zh-CN"/>
        </w:rPr>
        <w:t>.</w:t>
      </w:r>
      <w:r>
        <w:rPr>
          <w:rFonts w:hint="eastAsia" w:ascii="宋体" w:hAnsi="宋体" w:eastAsia="宋体" w:cs="宋体"/>
          <w:sz w:val="21"/>
          <w:szCs w:val="21"/>
        </w:rPr>
        <w:t>Classification of digital interventions, services and applications in health: a shared language to describe the uses of digital technology for health, 2nd ed</w:t>
      </w:r>
      <w:r>
        <w:rPr>
          <w:rFonts w:hint="eastAsia" w:ascii="宋体" w:hAnsi="宋体" w:cs="宋体"/>
          <w:sz w:val="21"/>
          <w:szCs w:val="21"/>
          <w:lang w:val="en-US" w:eastAsia="zh-CN"/>
        </w:rPr>
        <w:t>.</w:t>
      </w:r>
      <w:r>
        <w:rPr>
          <w:rFonts w:hint="eastAsia" w:ascii="宋体" w:hAnsi="宋体" w:eastAsia="宋体" w:cs="宋体"/>
          <w:sz w:val="21"/>
          <w:szCs w:val="21"/>
        </w:rPr>
        <w:t>World Health Organization，2023</w:t>
      </w:r>
      <w:r>
        <w:rPr>
          <w:rFonts w:hint="eastAsia" w:ascii="宋体" w:hAnsi="宋体" w:cs="宋体"/>
          <w:sz w:val="21"/>
          <w:szCs w:val="21"/>
          <w:lang w:val="en-US" w:eastAsia="zh-CN"/>
        </w:rPr>
        <w:t>.</w:t>
      </w:r>
    </w:p>
    <w:p>
      <w:pPr>
        <w:numPr>
          <w:ilvl w:val="0"/>
          <w:numId w:val="4"/>
        </w:numPr>
        <w:ind w:left="0" w:leftChars="0" w:firstLine="0" w:firstLineChars="0"/>
        <w:jc w:val="left"/>
        <w:rPr>
          <w:rFonts w:hint="eastAsia" w:ascii="宋体" w:hAnsi="宋体" w:eastAsia="宋体"/>
          <w:szCs w:val="21"/>
        </w:rPr>
      </w:pPr>
      <w:r>
        <w:rPr>
          <w:rFonts w:hint="eastAsia" w:ascii="宋体" w:hAnsi="宋体" w:eastAsia="宋体"/>
          <w:szCs w:val="21"/>
        </w:rPr>
        <w:t>American Diabetes Association Professional Practice Committee; 6. Glycemic Goals and Hypoglycemia: Standards of Care in Diabetes—2025. Diabetes Care 1 January 2025; 48 (Supplement_1): S128–S145</w:t>
      </w:r>
      <w:r>
        <w:rPr>
          <w:rFonts w:hint="eastAsia" w:ascii="宋体" w:hAnsi="宋体"/>
          <w:szCs w:val="21"/>
          <w:lang w:val="en-US" w:eastAsia="zh-CN"/>
        </w:rPr>
        <w:t>.</w:t>
      </w:r>
    </w:p>
    <w:p>
      <w:pPr>
        <w:numPr>
          <w:ilvl w:val="0"/>
          <w:numId w:val="4"/>
        </w:numPr>
        <w:ind w:left="0" w:leftChars="0" w:firstLine="0" w:firstLineChars="0"/>
        <w:jc w:val="left"/>
        <w:rPr>
          <w:rFonts w:hint="eastAsia" w:ascii="宋体" w:hAnsi="宋体" w:eastAsia="宋体"/>
          <w:szCs w:val="21"/>
        </w:rPr>
      </w:pPr>
      <w:r>
        <w:rPr>
          <w:rFonts w:hint="eastAsia" w:ascii="宋体" w:hAnsi="宋体" w:eastAsia="宋体"/>
          <w:szCs w:val="21"/>
        </w:rPr>
        <w:t>American Diabetes Association Professional Practice Committee; 7. Diabetes Technology: Standards of Care in Diabetes—2025. Diabetes Care 1 January 2025; 48 (Supplement_1): S146–S166.</w:t>
      </w:r>
    </w:p>
    <w:p>
      <w:pPr>
        <w:numPr>
          <w:ilvl w:val="0"/>
          <w:numId w:val="4"/>
        </w:numPr>
        <w:ind w:left="0" w:leftChars="0" w:firstLine="0" w:firstLineChars="0"/>
        <w:jc w:val="left"/>
        <w:rPr>
          <w:rFonts w:hint="eastAsia" w:ascii="宋体" w:hAnsi="宋体" w:eastAsia="宋体"/>
          <w:szCs w:val="21"/>
        </w:rPr>
      </w:pPr>
      <w:r>
        <w:rPr>
          <w:rFonts w:hint="eastAsia" w:ascii="宋体" w:hAnsi="宋体" w:eastAsia="宋体"/>
          <w:szCs w:val="21"/>
        </w:rPr>
        <w:t>Moschonis G, Siopis G, Jung J, Eweka E, Willems R, Kwasnicka D, Asare BY, Kodithuwakku V, Verhaeghe N, Vedanthan R, Annemans L, Oldenburg B, Manios Y; DigiCare4You Consortium. Effectiveness, reach, uptake, and feasibility of digital health interventions for adults with type 2 diabetes: a systematic review and meta-analysis of randomised controlled trials. Lancet Digit Health. 2023 Mar;5(3):e125-e143. doi: 10.1016/S2589-7500(22)00233-3. PMID: 36828606.</w:t>
      </w:r>
    </w:p>
    <w:p>
      <w:pPr>
        <w:numPr>
          <w:ilvl w:val="0"/>
          <w:numId w:val="4"/>
        </w:numPr>
        <w:ind w:left="0" w:leftChars="0" w:firstLine="0" w:firstLineChars="0"/>
        <w:jc w:val="left"/>
        <w:rPr>
          <w:rFonts w:hint="eastAsia" w:ascii="宋体" w:hAnsi="宋体" w:eastAsia="宋体"/>
          <w:szCs w:val="21"/>
        </w:rPr>
      </w:pPr>
      <w:r>
        <w:rPr>
          <w:rFonts w:hint="eastAsia" w:ascii="宋体" w:hAnsi="宋体" w:eastAsia="宋体"/>
          <w:szCs w:val="21"/>
        </w:rPr>
        <w:t>Liu F, Li J, Li X, Yang Z, Wang W, Zhao L, Wu T, Huang C, Xu Y. Efficacy of telemedicine intervention in the self-management of patients with type 2 diabetes: a systematic review and meta-analysis. Front Public Health. 2024 May 21;12:1405770. doi: 10.3389/fpubh.2024.1405770. PMID: 38835608; PMCID: PMC11148367.</w:t>
      </w:r>
    </w:p>
    <w:p>
      <w:pPr>
        <w:numPr>
          <w:ilvl w:val="0"/>
          <w:numId w:val="0"/>
        </w:numPr>
        <w:ind w:leftChars="0"/>
        <w:jc w:val="left"/>
        <w:rPr>
          <w:rFonts w:hint="eastAsia" w:ascii="宋体" w:hAnsi="宋体" w:eastAsia="宋体"/>
          <w:szCs w:val="21"/>
        </w:rPr>
      </w:pPr>
    </w:p>
    <w:sectPr>
      <w:headerReference r:id="rId12" w:type="default"/>
      <w:pgSz w:w="11906" w:h="16838"/>
      <w:pgMar w:top="1440" w:right="1797" w:bottom="1440" w:left="1797" w:header="851" w:footer="992" w:gutter="0"/>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auto"/>
    <w:pitch w:val="default"/>
    <w:sig w:usb0="800002BF" w:usb1="38CF7CFA" w:usb2="00000016" w:usb3="00000000" w:csb0="00040001" w:csb1="00000000"/>
  </w:font>
  <w:font w:name="方正小标宋简体">
    <w:altName w:val="方正舒体"/>
    <w:panose1 w:val="02000000000000000000"/>
    <w:charset w:val="86"/>
    <w:family w:val="swiss"/>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08492029"/>
      <w:docPartObj>
        <w:docPartGallery w:val="autotext"/>
      </w:docPartObj>
    </w:sdtPr>
    <w:sdtContent>
      <w:p>
        <w:pPr>
          <w:pStyle w:val="6"/>
          <w:jc w:val="right"/>
        </w:pPr>
        <w:r>
          <w:fldChar w:fldCharType="begin"/>
        </w:r>
        <w:r>
          <w:instrText xml:space="preserve">PAGE   \* MERGEFORMAT</w:instrText>
        </w:r>
        <w:r>
          <w:fldChar w:fldCharType="separate"/>
        </w:r>
        <w:r>
          <w:rPr>
            <w:lang w:val="zh-CN"/>
          </w:rPr>
          <w:t>I</w:t>
        </w:r>
        <w:r>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857167578"/>
      <w:docPartObj>
        <w:docPartGallery w:val="autotext"/>
      </w:docPartObj>
    </w:sdtPr>
    <w:sdtContent>
      <w:p>
        <w:pPr>
          <w:pStyle w:val="6"/>
          <w:jc w:val="right"/>
        </w:pPr>
        <w:r>
          <w:fldChar w:fldCharType="begin"/>
        </w:r>
        <w:r>
          <w:instrText xml:space="preserve">PAGE   \* MERGEFORMAT</w:instrText>
        </w:r>
        <w:r>
          <w:fldChar w:fldCharType="separate"/>
        </w:r>
        <w:r>
          <w:rPr>
            <w:lang w:val="zh-CN"/>
          </w:rPr>
          <w:t>1</w:t>
        </w:r>
        <w:r>
          <w:fldChar w:fldCharType="end"/>
        </w:r>
      </w:p>
    </w:sdtContent>
  </w:sdt>
  <w:p>
    <w:pPr>
      <w:pStyle w:val="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wordWrap w:val="0"/>
      <w:jc w:val="right"/>
      <w:rPr>
        <w:rFonts w:ascii="黑体" w:hAnsi="黑体" w:eastAsia="黑体"/>
        <w:sz w:val="21"/>
        <w:szCs w:val="21"/>
      </w:rPr>
    </w:pPr>
    <w:r>
      <w:rPr>
        <w:rFonts w:ascii="黑体" w:hAnsi="黑体" w:eastAsia="黑体"/>
        <w:sz w:val="21"/>
        <w:szCs w:val="21"/>
      </w:rPr>
      <w:t>T/</w:t>
    </w:r>
    <w:r>
      <w:rPr>
        <w:rFonts w:hint="eastAsia" w:ascii="黑体" w:hAnsi="黑体" w:eastAsia="黑体"/>
        <w:sz w:val="21"/>
        <w:szCs w:val="21"/>
        <w:lang w:val="en-US" w:eastAsia="zh-CN"/>
      </w:rPr>
      <w:t>BRA-CDCHE</w:t>
    </w:r>
    <w:r>
      <w:rPr>
        <w:rFonts w:ascii="黑体" w:hAnsi="黑体" w:eastAsia="黑体"/>
        <w:sz w:val="21"/>
        <w:szCs w:val="21"/>
      </w:rPr>
      <w:t xml:space="preserve"> </w:t>
    </w:r>
    <w:r>
      <w:rPr>
        <w:rFonts w:hint="eastAsia" w:ascii="黑体" w:hAnsi="黑体" w:eastAsia="黑体"/>
        <w:spacing w:val="10"/>
        <w:sz w:val="21"/>
        <w:szCs w:val="21"/>
      </w:rPr>
      <w:t>****</w:t>
    </w:r>
    <w:r>
      <w:rPr>
        <w:rFonts w:ascii="黑体" w:hAnsi="黑体" w:eastAsia="黑体"/>
        <w:spacing w:val="10"/>
        <w:sz w:val="21"/>
        <w:szCs w:val="21"/>
      </w:rPr>
      <w:t>－20</w:t>
    </w:r>
    <w:r>
      <w:rPr>
        <w:rFonts w:hint="eastAsia" w:ascii="黑体" w:hAnsi="黑体" w:eastAsia="黑体"/>
        <w:spacing w:val="10"/>
        <w:sz w:val="21"/>
        <w:szCs w:val="21"/>
      </w:rPr>
      <w:t>**</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tabs>
        <w:tab w:val="left" w:pos="11270"/>
      </w:tabs>
      <w:wordWrap w:val="0"/>
      <w:jc w:val="both"/>
      <w:rPr>
        <w:rFonts w:ascii="黑体" w:hAnsi="黑体" w:eastAsia="黑体"/>
        <w:sz w:val="21"/>
        <w:szCs w:val="21"/>
      </w:rPr>
    </w:pPr>
    <w:r>
      <w:rPr>
        <w:rFonts w:ascii="黑体" w:hAnsi="黑体" w:eastAsia="黑体"/>
        <w:sz w:val="21"/>
        <w:szCs w:val="21"/>
      </w:rPr>
      <w:tab/>
    </w:r>
    <w:r>
      <w:rPr>
        <w:rFonts w:ascii="黑体" w:hAnsi="黑体" w:eastAsia="黑体"/>
        <w:sz w:val="21"/>
        <w:szCs w:val="21"/>
      </w:rPr>
      <w:tab/>
    </w:r>
    <w:r>
      <w:rPr>
        <w:rFonts w:ascii="黑体" w:hAnsi="黑体" w:eastAsia="黑体"/>
        <w:sz w:val="21"/>
        <w:szCs w:val="21"/>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D575956"/>
    <w:multiLevelType w:val="singleLevel"/>
    <w:tmpl w:val="DD575956"/>
    <w:lvl w:ilvl="0" w:tentative="0">
      <w:start w:val="1"/>
      <w:numFmt w:val="decimal"/>
      <w:suff w:val="space"/>
      <w:lvlText w:val="[%1]"/>
      <w:lvlJc w:val="left"/>
    </w:lvl>
  </w:abstractNum>
  <w:abstractNum w:abstractNumId="1">
    <w:nsid w:val="1FC91163"/>
    <w:multiLevelType w:val="multilevel"/>
    <w:tmpl w:val="1FC91163"/>
    <w:lvl w:ilvl="0" w:tentative="0">
      <w:start w:val="1"/>
      <w:numFmt w:val="decimal"/>
      <w:pStyle w:val="25"/>
      <w:suff w:val="nothing"/>
      <w:lvlText w:val="%1　"/>
      <w:lvlJc w:val="left"/>
      <w:pPr>
        <w:ind w:left="0" w:firstLine="0"/>
      </w:pPr>
      <w:rPr>
        <w:rFonts w:hint="eastAsia" w:ascii="黑体" w:hAnsi="Times New Roman" w:eastAsia="黑体"/>
        <w:b w:val="0"/>
        <w:i w:val="0"/>
        <w:sz w:val="21"/>
        <w:szCs w:val="21"/>
      </w:rPr>
    </w:lvl>
    <w:lvl w:ilvl="1" w:tentative="0">
      <w:start w:val="1"/>
      <w:numFmt w:val="decimal"/>
      <w:suff w:val="nothing"/>
      <w:lvlText w:val="%1.%2　"/>
      <w:lvlJc w:val="left"/>
      <w:pPr>
        <w:ind w:left="0" w:firstLine="0"/>
      </w:pPr>
      <w:rPr>
        <w:rFonts w:hint="eastAsia" w:ascii="黑体" w:hAnsi="Times New Roman" w:eastAsia="黑体" w:cs="Times New Roman"/>
        <w:b w:val="0"/>
        <w:bCs w:val="0"/>
        <w:i w:val="0"/>
        <w:iCs w:val="0"/>
        <w:caps w:val="0"/>
        <w:strike w:val="0"/>
        <w:dstrike w:val="0"/>
        <w:outline w:val="0"/>
        <w:shadow w:val="0"/>
        <w:emboss w:val="0"/>
        <w:imprint w:val="0"/>
        <w:vanish w:val="0"/>
        <w:spacing w:val="0"/>
        <w:kern w:val="0"/>
        <w:position w:val="0"/>
        <w:sz w:val="21"/>
        <w:szCs w:val="21"/>
        <w:u w:val="none"/>
        <w:vertAlign w:val="baseline"/>
      </w:rPr>
    </w:lvl>
    <w:lvl w:ilvl="2" w:tentative="0">
      <w:start w:val="1"/>
      <w:numFmt w:val="decimal"/>
      <w:suff w:val="nothing"/>
      <w:lvlText w:val="%1.%2.%3　"/>
      <w:lvlJc w:val="left"/>
      <w:pPr>
        <w:ind w:left="284"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2">
    <w:nsid w:val="3155232E"/>
    <w:multiLevelType w:val="multilevel"/>
    <w:tmpl w:val="3155232E"/>
    <w:lvl w:ilvl="0" w:tentative="0">
      <w:start w:val="1"/>
      <w:numFmt w:val="decimal"/>
      <w:lvlText w:val="%1."/>
      <w:lvlJc w:val="left"/>
      <w:pPr>
        <w:ind w:left="432" w:hanging="432"/>
      </w:pPr>
      <w:rPr>
        <w:rFonts w:hint="default"/>
      </w:rPr>
    </w:lvl>
    <w:lvl w:ilvl="1" w:tentative="0">
      <w:start w:val="1"/>
      <w:numFmt w:val="decimal"/>
      <w:lvlText w:val="%1.%2."/>
      <w:lvlJc w:val="left"/>
      <w:pPr>
        <w:ind w:left="575" w:hanging="575"/>
      </w:pPr>
      <w:rPr>
        <w:rFonts w:hint="default"/>
      </w:rPr>
    </w:lvl>
    <w:lvl w:ilvl="2" w:tentative="0">
      <w:start w:val="1"/>
      <w:numFmt w:val="decimal"/>
      <w:lvlText w:val="%1.%2.%3."/>
      <w:lvlJc w:val="left"/>
      <w:pPr>
        <w:ind w:left="720" w:hanging="720"/>
      </w:pPr>
      <w:rPr>
        <w:rFonts w:hint="default"/>
      </w:rPr>
    </w:lvl>
    <w:lvl w:ilvl="3" w:tentative="0">
      <w:start w:val="1"/>
      <w:numFmt w:val="decimal"/>
      <w:pStyle w:val="2"/>
      <w:lvlText w:val="%1.%2.%3.%4."/>
      <w:lvlJc w:val="left"/>
      <w:pPr>
        <w:ind w:left="864" w:hanging="864"/>
      </w:pPr>
      <w:rPr>
        <w:rFonts w:hint="default"/>
      </w:rPr>
    </w:lvl>
    <w:lvl w:ilvl="4" w:tentative="0">
      <w:start w:val="1"/>
      <w:numFmt w:val="decimal"/>
      <w:lvlText w:val="%1.%2.%3.%4.%5."/>
      <w:lvlJc w:val="left"/>
      <w:pPr>
        <w:ind w:left="1008" w:hanging="1008"/>
      </w:pPr>
      <w:rPr>
        <w:rFonts w:hint="default"/>
      </w:rPr>
    </w:lvl>
    <w:lvl w:ilvl="5" w:tentative="0">
      <w:start w:val="1"/>
      <w:numFmt w:val="decimal"/>
      <w:lvlText w:val="%1.%2.%3.%4.%5.%6."/>
      <w:lvlJc w:val="left"/>
      <w:pPr>
        <w:ind w:left="1151" w:hanging="1151"/>
      </w:pPr>
      <w:rPr>
        <w:rFonts w:hint="default"/>
      </w:rPr>
    </w:lvl>
    <w:lvl w:ilvl="6" w:tentative="0">
      <w:start w:val="1"/>
      <w:numFmt w:val="decimal"/>
      <w:lvlText w:val="%1.%2.%3.%4.%5.%6.%7."/>
      <w:lvlJc w:val="left"/>
      <w:pPr>
        <w:ind w:left="1296" w:hanging="1296"/>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583" w:hanging="1583"/>
      </w:pPr>
      <w:rPr>
        <w:rFonts w:hint="default"/>
      </w:rPr>
    </w:lvl>
  </w:abstractNum>
  <w:abstractNum w:abstractNumId="3">
    <w:nsid w:val="6CEA2025"/>
    <w:multiLevelType w:val="multilevel"/>
    <w:tmpl w:val="6CEA2025"/>
    <w:lvl w:ilvl="0" w:tentative="0">
      <w:start w:val="1"/>
      <w:numFmt w:val="none"/>
      <w:pStyle w:val="18"/>
      <w:suff w:val="nothing"/>
      <w:lvlText w:val="%1"/>
      <w:lvlJc w:val="left"/>
      <w:pPr>
        <w:ind w:left="0" w:firstLine="0"/>
      </w:pPr>
      <w:rPr>
        <w:rFonts w:hint="default" w:ascii="Times New Roman" w:hAnsi="Times New Roman"/>
        <w:b/>
        <w:i w:val="0"/>
        <w:sz w:val="21"/>
      </w:rPr>
    </w:lvl>
    <w:lvl w:ilvl="1" w:tentative="0">
      <w:start w:val="1"/>
      <w:numFmt w:val="decimal"/>
      <w:pStyle w:val="19"/>
      <w:suff w:val="nothing"/>
      <w:lvlText w:val="%1%2　"/>
      <w:lvlJc w:val="left"/>
      <w:pPr>
        <w:ind w:left="360" w:firstLine="0"/>
      </w:pPr>
      <w:rPr>
        <w:rFonts w:hint="eastAsia" w:ascii="黑体" w:hAnsi="Times New Roman" w:eastAsia="黑体"/>
        <w:b w:val="0"/>
        <w:i w:val="0"/>
        <w:sz w:val="21"/>
      </w:rPr>
    </w:lvl>
    <w:lvl w:ilvl="2" w:tentative="0">
      <w:start w:val="1"/>
      <w:numFmt w:val="decimal"/>
      <w:pStyle w:val="15"/>
      <w:suff w:val="nothing"/>
      <w:lvlText w:val="%1%2.%3　"/>
      <w:lvlJc w:val="left"/>
      <w:pPr>
        <w:ind w:left="0" w:firstLine="0"/>
      </w:pPr>
      <w:rPr>
        <w:rFonts w:hint="eastAsia" w:ascii="黑体" w:hAnsi="Times New Roman" w:eastAsia="黑体"/>
        <w:b w:val="0"/>
        <w:i w:val="0"/>
        <w:sz w:val="21"/>
      </w:rPr>
    </w:lvl>
    <w:lvl w:ilvl="3" w:tentative="0">
      <w:start w:val="1"/>
      <w:numFmt w:val="decimal"/>
      <w:pStyle w:val="20"/>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54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2"/>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NhNzY0ZDkyN2IyZmI1YWM4NDI0YzMxNTczYjkxOGYifQ=="/>
  </w:docVars>
  <w:rsids>
    <w:rsidRoot w:val="00BC7831"/>
    <w:rsid w:val="00016417"/>
    <w:rsid w:val="00051519"/>
    <w:rsid w:val="00053659"/>
    <w:rsid w:val="00060D8E"/>
    <w:rsid w:val="00080D52"/>
    <w:rsid w:val="000C29F0"/>
    <w:rsid w:val="000F1177"/>
    <w:rsid w:val="000F3546"/>
    <w:rsid w:val="00101828"/>
    <w:rsid w:val="001057F7"/>
    <w:rsid w:val="001074B6"/>
    <w:rsid w:val="0011064A"/>
    <w:rsid w:val="00110943"/>
    <w:rsid w:val="00112E5C"/>
    <w:rsid w:val="00160984"/>
    <w:rsid w:val="00165E1D"/>
    <w:rsid w:val="00184727"/>
    <w:rsid w:val="00195740"/>
    <w:rsid w:val="00195EBA"/>
    <w:rsid w:val="001A33E4"/>
    <w:rsid w:val="001C487F"/>
    <w:rsid w:val="001C5DF8"/>
    <w:rsid w:val="001E3CBE"/>
    <w:rsid w:val="00210EDC"/>
    <w:rsid w:val="00226F03"/>
    <w:rsid w:val="00240ECC"/>
    <w:rsid w:val="002568DB"/>
    <w:rsid w:val="002A3D14"/>
    <w:rsid w:val="002A716C"/>
    <w:rsid w:val="002D1620"/>
    <w:rsid w:val="002E27BA"/>
    <w:rsid w:val="002F33B1"/>
    <w:rsid w:val="0034011E"/>
    <w:rsid w:val="003B4F8D"/>
    <w:rsid w:val="00413F82"/>
    <w:rsid w:val="00435258"/>
    <w:rsid w:val="0043594C"/>
    <w:rsid w:val="00437239"/>
    <w:rsid w:val="004415F3"/>
    <w:rsid w:val="00467DE9"/>
    <w:rsid w:val="00514F56"/>
    <w:rsid w:val="0056475B"/>
    <w:rsid w:val="005675F6"/>
    <w:rsid w:val="005A4262"/>
    <w:rsid w:val="005B63FD"/>
    <w:rsid w:val="005C4D5C"/>
    <w:rsid w:val="005D718A"/>
    <w:rsid w:val="005E4503"/>
    <w:rsid w:val="005F249D"/>
    <w:rsid w:val="005F72FB"/>
    <w:rsid w:val="00664A03"/>
    <w:rsid w:val="00670459"/>
    <w:rsid w:val="00673E36"/>
    <w:rsid w:val="00674D46"/>
    <w:rsid w:val="0068444E"/>
    <w:rsid w:val="00687204"/>
    <w:rsid w:val="00692CC5"/>
    <w:rsid w:val="006E4104"/>
    <w:rsid w:val="006E78C3"/>
    <w:rsid w:val="00754AD5"/>
    <w:rsid w:val="007558D6"/>
    <w:rsid w:val="007A732B"/>
    <w:rsid w:val="007C7383"/>
    <w:rsid w:val="007D24E9"/>
    <w:rsid w:val="00826483"/>
    <w:rsid w:val="00862A07"/>
    <w:rsid w:val="008B1166"/>
    <w:rsid w:val="008D309F"/>
    <w:rsid w:val="008F7435"/>
    <w:rsid w:val="00931243"/>
    <w:rsid w:val="009401B9"/>
    <w:rsid w:val="00970892"/>
    <w:rsid w:val="009807BE"/>
    <w:rsid w:val="00981EAB"/>
    <w:rsid w:val="00984ED3"/>
    <w:rsid w:val="00990F61"/>
    <w:rsid w:val="009C6235"/>
    <w:rsid w:val="00A14AD3"/>
    <w:rsid w:val="00A93EB2"/>
    <w:rsid w:val="00AB3E24"/>
    <w:rsid w:val="00AC469E"/>
    <w:rsid w:val="00AF4FBC"/>
    <w:rsid w:val="00B100E3"/>
    <w:rsid w:val="00B530B7"/>
    <w:rsid w:val="00B5365B"/>
    <w:rsid w:val="00B573EC"/>
    <w:rsid w:val="00BB49F7"/>
    <w:rsid w:val="00BC7831"/>
    <w:rsid w:val="00C31CF7"/>
    <w:rsid w:val="00C553DB"/>
    <w:rsid w:val="00C86BEC"/>
    <w:rsid w:val="00CA373C"/>
    <w:rsid w:val="00D62642"/>
    <w:rsid w:val="00D70986"/>
    <w:rsid w:val="00DA744C"/>
    <w:rsid w:val="00DE1D6D"/>
    <w:rsid w:val="00E463FE"/>
    <w:rsid w:val="00E60530"/>
    <w:rsid w:val="00E86133"/>
    <w:rsid w:val="00E91C18"/>
    <w:rsid w:val="00EB2E65"/>
    <w:rsid w:val="00EC75D4"/>
    <w:rsid w:val="00EF27E0"/>
    <w:rsid w:val="00F024E8"/>
    <w:rsid w:val="00F10A24"/>
    <w:rsid w:val="00F27B39"/>
    <w:rsid w:val="00F51C34"/>
    <w:rsid w:val="00F948F3"/>
    <w:rsid w:val="00FD0652"/>
    <w:rsid w:val="00FD741A"/>
    <w:rsid w:val="0137343F"/>
    <w:rsid w:val="01F36FCC"/>
    <w:rsid w:val="0227136C"/>
    <w:rsid w:val="045A77D7"/>
    <w:rsid w:val="06573826"/>
    <w:rsid w:val="06BF68CD"/>
    <w:rsid w:val="078B7CA7"/>
    <w:rsid w:val="079D74F0"/>
    <w:rsid w:val="08190FC5"/>
    <w:rsid w:val="08AC6127"/>
    <w:rsid w:val="08D12032"/>
    <w:rsid w:val="08EC0C19"/>
    <w:rsid w:val="091B525A"/>
    <w:rsid w:val="09420839"/>
    <w:rsid w:val="0A2968A3"/>
    <w:rsid w:val="0A83776E"/>
    <w:rsid w:val="0ABF65E6"/>
    <w:rsid w:val="0B1F52D6"/>
    <w:rsid w:val="0DFD46EF"/>
    <w:rsid w:val="0E2A204D"/>
    <w:rsid w:val="1042418F"/>
    <w:rsid w:val="10741C20"/>
    <w:rsid w:val="12AA7B7B"/>
    <w:rsid w:val="15FD4466"/>
    <w:rsid w:val="165A3666"/>
    <w:rsid w:val="18DF6862"/>
    <w:rsid w:val="1A847E25"/>
    <w:rsid w:val="1C646FED"/>
    <w:rsid w:val="1CC7757C"/>
    <w:rsid w:val="1D1A3B4F"/>
    <w:rsid w:val="1DF1580A"/>
    <w:rsid w:val="1DFB128B"/>
    <w:rsid w:val="1E5A5A62"/>
    <w:rsid w:val="1E965458"/>
    <w:rsid w:val="20D96F19"/>
    <w:rsid w:val="24020529"/>
    <w:rsid w:val="25E02FDF"/>
    <w:rsid w:val="25FE1354"/>
    <w:rsid w:val="2623053C"/>
    <w:rsid w:val="270F3FF9"/>
    <w:rsid w:val="27227ABC"/>
    <w:rsid w:val="27E606F5"/>
    <w:rsid w:val="281C3EDC"/>
    <w:rsid w:val="290F75E7"/>
    <w:rsid w:val="29A759DD"/>
    <w:rsid w:val="2BC2163A"/>
    <w:rsid w:val="2D4D255F"/>
    <w:rsid w:val="2DE65587"/>
    <w:rsid w:val="2DF14458"/>
    <w:rsid w:val="300D4E4E"/>
    <w:rsid w:val="30C61BCC"/>
    <w:rsid w:val="30E16A06"/>
    <w:rsid w:val="31A014D2"/>
    <w:rsid w:val="31F31444"/>
    <w:rsid w:val="32963A97"/>
    <w:rsid w:val="33770F5C"/>
    <w:rsid w:val="340A6274"/>
    <w:rsid w:val="34DD74E5"/>
    <w:rsid w:val="3607649B"/>
    <w:rsid w:val="38710670"/>
    <w:rsid w:val="389B6761"/>
    <w:rsid w:val="39070966"/>
    <w:rsid w:val="398203AB"/>
    <w:rsid w:val="39ED01CA"/>
    <w:rsid w:val="3A244DD6"/>
    <w:rsid w:val="3C776471"/>
    <w:rsid w:val="3D3237BB"/>
    <w:rsid w:val="3DB334D8"/>
    <w:rsid w:val="3E495BEB"/>
    <w:rsid w:val="3EEC6CA2"/>
    <w:rsid w:val="410B2946"/>
    <w:rsid w:val="410F6C78"/>
    <w:rsid w:val="42693DED"/>
    <w:rsid w:val="429824AC"/>
    <w:rsid w:val="458A0FC3"/>
    <w:rsid w:val="45D109A0"/>
    <w:rsid w:val="460A6E00"/>
    <w:rsid w:val="46164604"/>
    <w:rsid w:val="47B24801"/>
    <w:rsid w:val="47CB141F"/>
    <w:rsid w:val="48877A3B"/>
    <w:rsid w:val="48C31235"/>
    <w:rsid w:val="48CD485D"/>
    <w:rsid w:val="490E5A67"/>
    <w:rsid w:val="4A8C578F"/>
    <w:rsid w:val="4C1C493F"/>
    <w:rsid w:val="4E121B55"/>
    <w:rsid w:val="4F7A1C1A"/>
    <w:rsid w:val="529A65BD"/>
    <w:rsid w:val="52FB52AE"/>
    <w:rsid w:val="53E775E0"/>
    <w:rsid w:val="5460266F"/>
    <w:rsid w:val="54994852"/>
    <w:rsid w:val="55BE215A"/>
    <w:rsid w:val="58DD11B1"/>
    <w:rsid w:val="59851A30"/>
    <w:rsid w:val="5A6B69EA"/>
    <w:rsid w:val="5AA224B3"/>
    <w:rsid w:val="5B3F7F01"/>
    <w:rsid w:val="5BF136F2"/>
    <w:rsid w:val="5DB524FD"/>
    <w:rsid w:val="5F5024DD"/>
    <w:rsid w:val="5F874183"/>
    <w:rsid w:val="621C0D9D"/>
    <w:rsid w:val="63021D41"/>
    <w:rsid w:val="63960BF2"/>
    <w:rsid w:val="663A3EE7"/>
    <w:rsid w:val="66B772E6"/>
    <w:rsid w:val="66CA526B"/>
    <w:rsid w:val="69E77EE2"/>
    <w:rsid w:val="6A9516EC"/>
    <w:rsid w:val="6BA504FC"/>
    <w:rsid w:val="6BFFC43B"/>
    <w:rsid w:val="6E201C15"/>
    <w:rsid w:val="70C573B0"/>
    <w:rsid w:val="70D50A94"/>
    <w:rsid w:val="73937EB9"/>
    <w:rsid w:val="744E128A"/>
    <w:rsid w:val="7455768C"/>
    <w:rsid w:val="74D07EF1"/>
    <w:rsid w:val="759533F5"/>
    <w:rsid w:val="76657AA5"/>
    <w:rsid w:val="76BD6E14"/>
    <w:rsid w:val="77C311BD"/>
    <w:rsid w:val="77DFE561"/>
    <w:rsid w:val="7883527A"/>
    <w:rsid w:val="78AF606F"/>
    <w:rsid w:val="78C244A2"/>
    <w:rsid w:val="7AA5174D"/>
    <w:rsid w:val="7BD52290"/>
    <w:rsid w:val="7DC861E9"/>
    <w:rsid w:val="7E562072"/>
    <w:rsid w:val="7FC31B7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qFormat="1" w:unhideWhenUsed="0" w:uiPriority="0" w:semiHidden="0"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exact"/>
      <w:ind w:firstLine="420" w:firstLineChars="200"/>
      <w:jc w:val="both"/>
    </w:pPr>
    <w:rPr>
      <w:rFonts w:eastAsia="宋体" w:asciiTheme="minorAscii" w:hAnsiTheme="minorAscii" w:cstheme="minorBidi"/>
      <w:kern w:val="2"/>
      <w:sz w:val="21"/>
      <w:szCs w:val="22"/>
      <w:lang w:val="en-US" w:eastAsia="zh-CN" w:bidi="ar-SA"/>
    </w:rPr>
  </w:style>
  <w:style w:type="paragraph" w:styleId="2">
    <w:name w:val="heading 4"/>
    <w:basedOn w:val="1"/>
    <w:next w:val="1"/>
    <w:semiHidden/>
    <w:unhideWhenUsed/>
    <w:qFormat/>
    <w:uiPriority w:val="9"/>
    <w:pPr>
      <w:keepNext/>
      <w:keepLines/>
      <w:numPr>
        <w:ilvl w:val="3"/>
        <w:numId w:val="1"/>
      </w:numPr>
      <w:spacing w:beforeLines="0" w:beforeAutospacing="0" w:afterLines="0" w:afterAutospacing="0" w:line="360" w:lineRule="exact"/>
      <w:ind w:left="0" w:firstLine="0" w:firstLineChars="0"/>
      <w:outlineLvl w:val="3"/>
    </w:pPr>
    <w:rPr>
      <w:rFonts w:ascii="Times New Roman" w:hAnsi="Times New Roman" w:cs="Times New Roman"/>
      <w:sz w:val="21"/>
    </w:rPr>
  </w:style>
  <w:style w:type="character" w:default="1" w:styleId="11">
    <w:name w:val="Default Paragraph Font"/>
    <w:semiHidden/>
    <w:unhideWhenUsed/>
    <w:qFormat/>
    <w:uiPriority w:val="1"/>
  </w:style>
  <w:style w:type="table" w:default="1" w:styleId="13">
    <w:name w:val="Normal Table"/>
    <w:semiHidden/>
    <w:unhideWhenUsed/>
    <w:qFormat/>
    <w:uiPriority w:val="99"/>
    <w:tblPr>
      <w:tblLayout w:type="fixed"/>
      <w:tblCellMar>
        <w:top w:w="0" w:type="dxa"/>
        <w:left w:w="108" w:type="dxa"/>
        <w:bottom w:w="0" w:type="dxa"/>
        <w:right w:w="108" w:type="dxa"/>
      </w:tblCellMar>
    </w:tblPr>
  </w:style>
  <w:style w:type="paragraph" w:styleId="3">
    <w:name w:val="caption"/>
    <w:basedOn w:val="1"/>
    <w:next w:val="1"/>
    <w:semiHidden/>
    <w:unhideWhenUsed/>
    <w:qFormat/>
    <w:uiPriority w:val="35"/>
    <w:rPr>
      <w:rFonts w:ascii="Arial" w:hAnsi="Arial" w:eastAsia="黑体"/>
      <w:sz w:val="20"/>
    </w:rPr>
  </w:style>
  <w:style w:type="paragraph" w:styleId="4">
    <w:name w:val="Body Text 3"/>
    <w:basedOn w:val="1"/>
    <w:link w:val="22"/>
    <w:qFormat/>
    <w:uiPriority w:val="0"/>
    <w:pPr>
      <w:widowControl/>
    </w:pPr>
    <w:rPr>
      <w:rFonts w:ascii="Times New Roman" w:hAnsi="Times New Roman" w:eastAsia="仿宋_GB2312" w:cs="Times New Roman"/>
      <w:kern w:val="0"/>
      <w:sz w:val="28"/>
      <w:szCs w:val="20"/>
    </w:rPr>
  </w:style>
  <w:style w:type="paragraph" w:styleId="5">
    <w:name w:val="Balloon Text"/>
    <w:basedOn w:val="1"/>
    <w:link w:val="31"/>
    <w:semiHidden/>
    <w:unhideWhenUsed/>
    <w:qFormat/>
    <w:uiPriority w:val="99"/>
    <w:rPr>
      <w:sz w:val="18"/>
      <w:szCs w:val="18"/>
    </w:rPr>
  </w:style>
  <w:style w:type="paragraph" w:styleId="6">
    <w:name w:val="footer"/>
    <w:basedOn w:val="1"/>
    <w:link w:val="28"/>
    <w:unhideWhenUsed/>
    <w:qFormat/>
    <w:uiPriority w:val="99"/>
    <w:pPr>
      <w:tabs>
        <w:tab w:val="center" w:pos="4153"/>
        <w:tab w:val="right" w:pos="8306"/>
      </w:tabs>
      <w:snapToGrid w:val="0"/>
      <w:jc w:val="left"/>
    </w:pPr>
    <w:rPr>
      <w:sz w:val="18"/>
      <w:szCs w:val="18"/>
    </w:rPr>
  </w:style>
  <w:style w:type="paragraph" w:styleId="7">
    <w:name w:val="header"/>
    <w:basedOn w:val="1"/>
    <w:link w:val="27"/>
    <w:qFormat/>
    <w:uiPriority w:val="99"/>
    <w:pPr>
      <w:tabs>
        <w:tab w:val="center" w:pos="4153"/>
        <w:tab w:val="right" w:pos="8306"/>
      </w:tabs>
      <w:snapToGrid w:val="0"/>
      <w:jc w:val="center"/>
    </w:pPr>
    <w:rPr>
      <w:rFonts w:ascii="Times New Roman" w:hAnsi="Times New Roman" w:eastAsia="宋体" w:cs="Times New Roman"/>
      <w:sz w:val="18"/>
      <w:szCs w:val="18"/>
    </w:rPr>
  </w:style>
  <w:style w:type="paragraph" w:styleId="8">
    <w:name w:val="toc 1"/>
    <w:next w:val="1"/>
    <w:qFormat/>
    <w:uiPriority w:val="39"/>
    <w:pPr>
      <w:widowControl w:val="0"/>
      <w:spacing w:before="240" w:after="120"/>
    </w:pPr>
    <w:rPr>
      <w:rFonts w:ascii="等线" w:hAnsi="Times New Roman" w:eastAsia="等线" w:cs="Times New Roman"/>
      <w:b/>
      <w:bCs/>
      <w:kern w:val="2"/>
      <w:sz w:val="20"/>
      <w:szCs w:val="20"/>
      <w:lang w:val="en-US" w:eastAsia="zh-CN" w:bidi="ar-SA"/>
    </w:rPr>
  </w:style>
  <w:style w:type="paragraph" w:styleId="9">
    <w:name w:val="toc 2"/>
    <w:basedOn w:val="1"/>
    <w:next w:val="1"/>
    <w:semiHidden/>
    <w:unhideWhenUsed/>
    <w:qFormat/>
    <w:uiPriority w:val="39"/>
    <w:pPr>
      <w:ind w:left="420" w:leftChars="200"/>
    </w:pPr>
  </w:style>
  <w:style w:type="paragraph" w:styleId="10">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12">
    <w:name w:val="Hyperlink"/>
    <w:basedOn w:val="11"/>
    <w:unhideWhenUsed/>
    <w:qFormat/>
    <w:uiPriority w:val="99"/>
    <w:rPr>
      <w:color w:val="0000FF" w:themeColor="hyperlink"/>
      <w:u w:val="single"/>
      <w14:textFill>
        <w14:solidFill>
          <w14:schemeClr w14:val="hlink"/>
        </w14:solidFill>
      </w14:textFill>
    </w:rPr>
  </w:style>
  <w:style w:type="table" w:styleId="14">
    <w:name w:val="Table Grid"/>
    <w:basedOn w:val="13"/>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15">
    <w:name w:val="一级条标题"/>
    <w:next w:val="16"/>
    <w:link w:val="17"/>
    <w:qFormat/>
    <w:uiPriority w:val="0"/>
    <w:pPr>
      <w:numPr>
        <w:ilvl w:val="2"/>
        <w:numId w:val="2"/>
      </w:numPr>
      <w:spacing w:before="50" w:beforeLines="50" w:after="50" w:afterLines="50"/>
      <w:outlineLvl w:val="2"/>
    </w:pPr>
    <w:rPr>
      <w:rFonts w:eastAsia="黑体" w:asciiTheme="minorAscii" w:hAnsiTheme="minorAscii" w:cstheme="minorBidi"/>
      <w:kern w:val="2"/>
      <w:sz w:val="21"/>
      <w:szCs w:val="22"/>
      <w:lang w:val="en-US" w:eastAsia="zh-CN" w:bidi="ar-SA"/>
    </w:rPr>
  </w:style>
  <w:style w:type="paragraph" w:customStyle="1" w:styleId="16">
    <w:name w:val="段"/>
    <w:link w:val="36"/>
    <w:qFormat/>
    <w:uiPriority w:val="0"/>
    <w:pPr>
      <w:autoSpaceDE w:val="0"/>
      <w:autoSpaceDN w:val="0"/>
      <w:spacing w:line="360" w:lineRule="exact"/>
      <w:ind w:firstLine="200" w:firstLineChars="200"/>
      <w:jc w:val="both"/>
    </w:pPr>
    <w:rPr>
      <w:rFonts w:ascii="宋体" w:hAnsi="宋体" w:eastAsia="宋体" w:cs="Times New Roman"/>
      <w:kern w:val="0"/>
      <w:sz w:val="21"/>
      <w:szCs w:val="20"/>
      <w:lang w:val="en-US" w:eastAsia="zh-CN" w:bidi="ar-SA"/>
    </w:rPr>
  </w:style>
  <w:style w:type="character" w:customStyle="1" w:styleId="17">
    <w:name w:val="一级条标题 Char"/>
    <w:link w:val="15"/>
    <w:qFormat/>
    <w:uiPriority w:val="0"/>
    <w:rPr>
      <w:rFonts w:eastAsia="黑体" w:asciiTheme="minorAscii" w:hAnsiTheme="minorAscii"/>
    </w:rPr>
  </w:style>
  <w:style w:type="paragraph" w:customStyle="1" w:styleId="18">
    <w:name w:val="前言、引言标题"/>
    <w:next w:val="1"/>
    <w:qFormat/>
    <w:uiPriority w:val="0"/>
    <w:pPr>
      <w:numPr>
        <w:ilvl w:val="0"/>
        <w:numId w:val="2"/>
      </w:numPr>
      <w:shd w:val="clear" w:color="FFFFFF" w:fill="FFFFFF"/>
      <w:spacing w:before="640" w:after="560"/>
      <w:jc w:val="center"/>
      <w:outlineLvl w:val="0"/>
    </w:pPr>
    <w:rPr>
      <w:rFonts w:ascii="黑体" w:hAnsi="Times New Roman" w:eastAsia="黑体" w:cs="Times New Roman"/>
      <w:kern w:val="0"/>
      <w:sz w:val="32"/>
      <w:szCs w:val="20"/>
      <w:lang w:val="en-US" w:eastAsia="zh-CN" w:bidi="ar-SA"/>
    </w:rPr>
  </w:style>
  <w:style w:type="paragraph" w:customStyle="1" w:styleId="19">
    <w:name w:val="章标题"/>
    <w:next w:val="16"/>
    <w:link w:val="21"/>
    <w:qFormat/>
    <w:uiPriority w:val="0"/>
    <w:pPr>
      <w:numPr>
        <w:ilvl w:val="1"/>
        <w:numId w:val="2"/>
      </w:numPr>
      <w:spacing w:before="100" w:beforeLines="100" w:after="100" w:afterLines="100"/>
      <w:ind w:left="0"/>
      <w:jc w:val="both"/>
      <w:outlineLvl w:val="1"/>
    </w:pPr>
    <w:rPr>
      <w:rFonts w:ascii="黑体" w:hAnsi="黑体" w:eastAsia="黑体" w:cstheme="minorBidi"/>
      <w:kern w:val="2"/>
      <w:sz w:val="21"/>
      <w:szCs w:val="22"/>
      <w:lang w:val="en-US" w:eastAsia="zh-CN" w:bidi="ar-SA"/>
    </w:rPr>
  </w:style>
  <w:style w:type="paragraph" w:customStyle="1" w:styleId="20">
    <w:name w:val="二级条标题"/>
    <w:basedOn w:val="15"/>
    <w:next w:val="16"/>
    <w:qFormat/>
    <w:uiPriority w:val="0"/>
    <w:pPr>
      <w:numPr>
        <w:ilvl w:val="3"/>
      </w:numPr>
      <w:tabs>
        <w:tab w:val="left" w:pos="435"/>
      </w:tabs>
      <w:ind w:left="435" w:hanging="435"/>
      <w:outlineLvl w:val="3"/>
    </w:pPr>
  </w:style>
  <w:style w:type="character" w:customStyle="1" w:styleId="21">
    <w:name w:val="章标题 Char"/>
    <w:link w:val="19"/>
    <w:qFormat/>
    <w:uiPriority w:val="0"/>
    <w:rPr>
      <w:rFonts w:ascii="黑体" w:hAnsi="黑体" w:eastAsia="黑体"/>
    </w:rPr>
  </w:style>
  <w:style w:type="character" w:customStyle="1" w:styleId="22">
    <w:name w:val="正文文本 3 字符"/>
    <w:basedOn w:val="11"/>
    <w:link w:val="4"/>
    <w:qFormat/>
    <w:uiPriority w:val="0"/>
    <w:rPr>
      <w:rFonts w:ascii="Times New Roman" w:hAnsi="Times New Roman" w:eastAsia="仿宋_GB2312" w:cs="Times New Roman"/>
      <w:kern w:val="0"/>
      <w:sz w:val="28"/>
      <w:szCs w:val="20"/>
    </w:rPr>
  </w:style>
  <w:style w:type="character" w:customStyle="1" w:styleId="23">
    <w:name w:val="页眉 Char"/>
    <w:basedOn w:val="11"/>
    <w:semiHidden/>
    <w:qFormat/>
    <w:uiPriority w:val="99"/>
    <w:rPr>
      <w:sz w:val="18"/>
      <w:szCs w:val="18"/>
    </w:rPr>
  </w:style>
  <w:style w:type="paragraph" w:customStyle="1" w:styleId="24">
    <w:name w:val="目次、标准名称标题"/>
    <w:basedOn w:val="1"/>
    <w:next w:val="1"/>
    <w:qFormat/>
    <w:uiPriority w:val="0"/>
    <w:pPr>
      <w:widowControl/>
      <w:shd w:val="clear" w:color="FFFFFF" w:fill="FFFFFF"/>
      <w:spacing w:before="640" w:after="560" w:line="460" w:lineRule="exact"/>
      <w:jc w:val="center"/>
      <w:outlineLvl w:val="0"/>
    </w:pPr>
    <w:rPr>
      <w:rFonts w:ascii="黑体" w:hAnsi="Times New Roman" w:eastAsia="黑体" w:cs="Times New Roman"/>
      <w:kern w:val="0"/>
      <w:sz w:val="32"/>
      <w:szCs w:val="20"/>
    </w:rPr>
  </w:style>
  <w:style w:type="paragraph" w:customStyle="1" w:styleId="25">
    <w:name w:val="注：（正文）"/>
    <w:basedOn w:val="1"/>
    <w:next w:val="16"/>
    <w:qFormat/>
    <w:uiPriority w:val="0"/>
    <w:pPr>
      <w:numPr>
        <w:ilvl w:val="0"/>
        <w:numId w:val="3"/>
      </w:numPr>
      <w:tabs>
        <w:tab w:val="left" w:pos="1080"/>
      </w:tabs>
      <w:autoSpaceDE w:val="0"/>
      <w:autoSpaceDN w:val="0"/>
      <w:ind w:left="726" w:hanging="363"/>
    </w:pPr>
    <w:rPr>
      <w:rFonts w:ascii="宋体" w:hAnsi="Times New Roman" w:eastAsia="宋体" w:cs="Times New Roman"/>
      <w:kern w:val="0"/>
      <w:sz w:val="18"/>
      <w:szCs w:val="18"/>
    </w:rPr>
  </w:style>
  <w:style w:type="paragraph" w:customStyle="1" w:styleId="26">
    <w:name w:val="标准书脚_奇数页"/>
    <w:qFormat/>
    <w:uiPriority w:val="0"/>
    <w:pPr>
      <w:spacing w:before="120"/>
      <w:jc w:val="right"/>
    </w:pPr>
    <w:rPr>
      <w:rFonts w:ascii="Times New Roman" w:hAnsi="Times New Roman" w:eastAsia="宋体" w:cs="Times New Roman"/>
      <w:kern w:val="0"/>
      <w:sz w:val="18"/>
      <w:szCs w:val="20"/>
      <w:lang w:val="en-US" w:eastAsia="zh-CN" w:bidi="ar-SA"/>
    </w:rPr>
  </w:style>
  <w:style w:type="character" w:customStyle="1" w:styleId="27">
    <w:name w:val="页眉 字符"/>
    <w:link w:val="7"/>
    <w:qFormat/>
    <w:uiPriority w:val="99"/>
    <w:rPr>
      <w:rFonts w:ascii="Times New Roman" w:hAnsi="Times New Roman" w:eastAsia="宋体" w:cs="Times New Roman"/>
      <w:sz w:val="18"/>
      <w:szCs w:val="18"/>
    </w:rPr>
  </w:style>
  <w:style w:type="character" w:customStyle="1" w:styleId="28">
    <w:name w:val="页脚 字符"/>
    <w:basedOn w:val="11"/>
    <w:link w:val="6"/>
    <w:qFormat/>
    <w:uiPriority w:val="99"/>
    <w:rPr>
      <w:sz w:val="18"/>
      <w:szCs w:val="18"/>
    </w:rPr>
  </w:style>
  <w:style w:type="paragraph" w:styleId="29">
    <w:name w:val="List Paragraph"/>
    <w:basedOn w:val="1"/>
    <w:unhideWhenUsed/>
    <w:qFormat/>
    <w:uiPriority w:val="99"/>
    <w:pPr>
      <w:ind w:firstLine="420" w:firstLineChars="200"/>
    </w:pPr>
    <w:rPr>
      <w:szCs w:val="24"/>
    </w:rPr>
  </w:style>
  <w:style w:type="character" w:customStyle="1" w:styleId="30">
    <w:name w:val="未处理的提及1"/>
    <w:basedOn w:val="11"/>
    <w:semiHidden/>
    <w:unhideWhenUsed/>
    <w:qFormat/>
    <w:uiPriority w:val="99"/>
    <w:rPr>
      <w:color w:val="605E5C"/>
      <w:shd w:val="clear" w:color="auto" w:fill="E1DFDD"/>
    </w:rPr>
  </w:style>
  <w:style w:type="character" w:customStyle="1" w:styleId="31">
    <w:name w:val="批注框文本 字符"/>
    <w:basedOn w:val="11"/>
    <w:link w:val="5"/>
    <w:semiHidden/>
    <w:qFormat/>
    <w:uiPriority w:val="99"/>
    <w:rPr>
      <w:sz w:val="18"/>
      <w:szCs w:val="18"/>
    </w:rPr>
  </w:style>
  <w:style w:type="paragraph" w:customStyle="1" w:styleId="32">
    <w:name w:val="正文 + 宋体"/>
    <w:basedOn w:val="1"/>
    <w:qFormat/>
    <w:uiPriority w:val="0"/>
    <w:pPr>
      <w:spacing w:line="360" w:lineRule="auto"/>
      <w:ind w:firstLine="480" w:firstLineChars="200"/>
    </w:pPr>
    <w:rPr>
      <w:rFonts w:ascii="宋体" w:hAnsi="宋体" w:eastAsia="宋体" w:cs="Times New Roman"/>
      <w:sz w:val="24"/>
      <w:szCs w:val="24"/>
    </w:rPr>
  </w:style>
  <w:style w:type="character" w:customStyle="1" w:styleId="33">
    <w:name w:val="fontstyle01"/>
    <w:basedOn w:val="11"/>
    <w:qFormat/>
    <w:uiPriority w:val="0"/>
    <w:rPr>
      <w:rFonts w:hint="eastAsia" w:ascii="仿宋" w:hAnsi="仿宋" w:eastAsia="仿宋"/>
      <w:color w:val="000000"/>
      <w:sz w:val="30"/>
      <w:szCs w:val="30"/>
    </w:rPr>
  </w:style>
  <w:style w:type="paragraph" w:customStyle="1" w:styleId="34">
    <w:name w:val="Default"/>
    <w:qFormat/>
    <w:uiPriority w:val="0"/>
    <w:pPr>
      <w:widowControl w:val="0"/>
      <w:autoSpaceDE w:val="0"/>
      <w:autoSpaceDN w:val="0"/>
      <w:adjustRightInd w:val="0"/>
    </w:pPr>
    <w:rPr>
      <w:rFonts w:ascii="方正小标宋简体" w:hAnsi="Calibri" w:eastAsia="方正小标宋简体" w:cs="方正小标宋简体"/>
      <w:color w:val="000000"/>
      <w:kern w:val="0"/>
      <w:sz w:val="24"/>
      <w:szCs w:val="24"/>
      <w:lang w:val="en-US" w:eastAsia="zh-CN" w:bidi="ar-SA"/>
    </w:rPr>
  </w:style>
  <w:style w:type="character" w:customStyle="1" w:styleId="35">
    <w:name w:val="未处理的提及2"/>
    <w:basedOn w:val="11"/>
    <w:semiHidden/>
    <w:unhideWhenUsed/>
    <w:qFormat/>
    <w:uiPriority w:val="99"/>
    <w:rPr>
      <w:color w:val="605E5C"/>
      <w:shd w:val="clear" w:color="auto" w:fill="E1DFDD"/>
    </w:rPr>
  </w:style>
  <w:style w:type="character" w:customStyle="1" w:styleId="36">
    <w:name w:val="段 Char"/>
    <w:basedOn w:val="11"/>
    <w:link w:val="16"/>
    <w:qFormat/>
    <w:uiPriority w:val="0"/>
    <w:rPr>
      <w:rFonts w:ascii="宋体" w:hAnsi="宋体" w:eastAsia="宋体" w:cs="Times New Roman"/>
      <w:kern w:val="0"/>
      <w:szCs w:val="20"/>
    </w:rPr>
  </w:style>
  <w:style w:type="character" w:customStyle="1" w:styleId="37">
    <w:name w:val="font31"/>
    <w:basedOn w:val="11"/>
    <w:qFormat/>
    <w:uiPriority w:val="0"/>
    <w:rPr>
      <w:rFonts w:hint="default" w:ascii="Arial" w:hAnsi="Arial" w:cs="Arial"/>
      <w:color w:val="000000"/>
      <w:sz w:val="28"/>
      <w:szCs w:val="28"/>
      <w:u w:val="none"/>
    </w:rPr>
  </w:style>
  <w:style w:type="character" w:customStyle="1" w:styleId="38">
    <w:name w:val="font11"/>
    <w:basedOn w:val="11"/>
    <w:qFormat/>
    <w:uiPriority w:val="0"/>
    <w:rPr>
      <w:rFonts w:hint="eastAsia" w:ascii="宋体" w:hAnsi="宋体" w:eastAsia="宋体" w:cs="宋体"/>
      <w:color w:val="000000"/>
      <w:sz w:val="28"/>
      <w:szCs w:val="28"/>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header" Target="header5.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16</Pages>
  <Words>8014</Words>
  <Characters>9018</Characters>
  <Lines>14</Lines>
  <Paragraphs>3</Paragraphs>
  <TotalTime>0</TotalTime>
  <ScaleCrop>false</ScaleCrop>
  <LinksUpToDate>false</LinksUpToDate>
  <CharactersWithSpaces>9459</CharactersWithSpaces>
  <Application>WPS Office_11.8.2.8053_F1E327BC-269C-435d-A152-05C5408002CA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2019-08-07T18:38:00Z</dcterms:created>
  <dc:creator>fengxue</dc:creator>
  <cp:lastModifiedBy>明</cp:lastModifiedBy>
  <cp:lastPrinted>2022-01-12T22:40:00Z</cp:lastPrinted>
  <dcterms:modified xsi:type="dcterms:W3CDTF">2026-07-07T00:43:00Z</dcterms:modified>
  <cp:revision>81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y fmtid="{D5CDD505-2E9C-101B-9397-08002B2CF9AE}" pid="3" name="ICV">
    <vt:lpwstr>25CF345EEAD7491FB940C89D94F65086_13</vt:lpwstr>
  </property>
  <property fmtid="{D5CDD505-2E9C-101B-9397-08002B2CF9AE}" pid="4" name="KSOTemplateDocerSaveRecord">
    <vt:lpwstr>eyJoZGlkIjoiMTUxNDZhNzM4MWU5MDY1MTgxZDAwZTkyYzNjZjU5MmIiLCJ1c2VySWQiOiIzMDkxMTQyNjYifQ==</vt:lpwstr>
  </property>
</Properties>
</file>