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numId w:val="0"/>
        </w:numPr>
        <w:bidi w:val="0"/>
        <w:ind w:leftChars="0"/>
        <w:rPr>
          <w:rFonts w:hint="default" w:ascii="Times New Roman" w:hAnsi="Times New Roman" w:eastAsia="仿宋" w:cs="Times New Roman"/>
          <w:b w:val="0"/>
          <w:bCs w:val="0"/>
          <w:color w:val="auto"/>
          <w:kern w:val="2"/>
          <w:sz w:val="28"/>
          <w:szCs w:val="28"/>
          <w:highlight w:val="none"/>
          <w:lang w:val="en-US" w:eastAsia="zh-CN" w:bidi="ar-SA"/>
        </w:rPr>
      </w:pPr>
      <w:r>
        <w:rPr>
          <w:rFonts w:hint="default" w:ascii="Times New Roman" w:hAnsi="Times New Roman" w:eastAsia="仿宋" w:cs="Times New Roman"/>
          <w:b w:val="0"/>
          <w:bCs w:val="0"/>
          <w:color w:val="auto"/>
          <w:kern w:val="2"/>
          <w:sz w:val="28"/>
          <w:szCs w:val="28"/>
          <w:highlight w:val="none"/>
          <w:lang w:val="en-US" w:eastAsia="zh-CN" w:bidi="ar-SA"/>
        </w:rPr>
        <w:t>ICS号</w:t>
      </w:r>
    </w:p>
    <w:p>
      <w:pPr>
        <w:spacing w:line="400" w:lineRule="exact"/>
        <w:ind w:firstLine="0" w:firstLineChars="0"/>
        <w:jc w:val="left"/>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中国标准文献分类号</w:t>
      </w:r>
    </w:p>
    <w:p>
      <w:pPr>
        <w:spacing w:before="312" w:beforeLines="100" w:after="312" w:afterLines="100"/>
        <w:ind w:firstLine="0" w:firstLineChars="0"/>
        <w:jc w:val="center"/>
        <w:rPr>
          <w:rFonts w:hint="default" w:ascii="Times New Roman" w:hAnsi="Times New Roman" w:cs="Times New Roman"/>
          <w:sz w:val="96"/>
          <w:szCs w:val="28"/>
          <w:highlight w:val="none"/>
        </w:rPr>
      </w:pPr>
      <w:r>
        <w:rPr>
          <w:rFonts w:hint="default" w:ascii="Times New Roman" w:hAnsi="Times New Roman" w:cs="Times New Roman"/>
          <w:sz w:val="96"/>
          <w:szCs w:val="28"/>
          <w:highlight w:val="none"/>
        </w:rPr>
        <w:t>团  体  标  准</w:t>
      </w:r>
    </w:p>
    <w:p>
      <w:pPr>
        <w:ind w:firstLine="440"/>
        <w:jc w:val="right"/>
        <w:rPr>
          <w:rFonts w:hint="default" w:ascii="Times New Roman" w:hAnsi="Times New Roman" w:eastAsia="黑体" w:cs="Times New Roman"/>
          <w:sz w:val="22"/>
          <w:szCs w:val="28"/>
          <w:highlight w:val="none"/>
        </w:rPr>
      </w:pPr>
      <w:r>
        <w:rPr>
          <w:rFonts w:hint="default" w:ascii="Times New Roman" w:hAnsi="Times New Roman" w:eastAsia="黑体" w:cs="Times New Roman"/>
          <w:sz w:val="22"/>
          <w:szCs w:val="28"/>
          <w:highlight w:val="none"/>
        </w:rPr>
        <w:t>团体标准编号T/BRA-CDCHE</w:t>
      </w:r>
      <w:r>
        <w:rPr>
          <w:rFonts w:hint="default" w:ascii="Times New Roman" w:hAnsi="Times New Roman" w:cs="Times New Roman"/>
          <w:highlight w:val="none"/>
        </w:rPr>
        <w:t>/</w:t>
      </w:r>
      <w:r>
        <w:rPr>
          <w:rFonts w:hint="default" w:ascii="Times New Roman" w:hAnsi="Times New Roman" w:eastAsia="黑体" w:cs="Times New Roman"/>
          <w:sz w:val="22"/>
          <w:szCs w:val="28"/>
          <w:highlight w:val="none"/>
        </w:rPr>
        <w:t xml:space="preserve"> XXXX-XXXX</w:t>
      </w:r>
    </w:p>
    <w:p>
      <w:pPr>
        <w:ind w:firstLine="440"/>
        <w:jc w:val="center"/>
        <w:rPr>
          <w:rFonts w:hint="default" w:ascii="Times New Roman" w:hAnsi="Times New Roman" w:eastAsia="黑体" w:cs="Times New Roman"/>
          <w:sz w:val="22"/>
          <w:szCs w:val="28"/>
          <w:highlight w:val="none"/>
        </w:rPr>
      </w:pPr>
      <w:r>
        <w:rPr>
          <w:rFonts w:hint="default" w:ascii="Times New Roman" w:hAnsi="Times New Roman" w:eastAsia="黑体" w:cs="Times New Roman"/>
          <w:sz w:val="22"/>
          <w:szCs w:val="28"/>
          <w:highlight w:val="none"/>
        </w:rPr>
        <w:t xml:space="preserve">                                   代替的团体标准编号（修订填写）</w:t>
      </w:r>
    </w:p>
    <w:p>
      <w:pPr>
        <w:spacing w:line="240" w:lineRule="exact"/>
        <w:ind w:firstLine="0" w:firstLineChars="0"/>
        <w:jc w:val="left"/>
        <w:rPr>
          <w:rFonts w:hint="default" w:ascii="Times New Roman" w:hAnsi="Times New Roman" w:cs="Times New Roman"/>
          <w:sz w:val="28"/>
          <w:szCs w:val="28"/>
          <w:highlight w:val="none"/>
          <w:u w:val="single"/>
        </w:rPr>
      </w:pPr>
      <w:r>
        <w:rPr>
          <w:rFonts w:hint="default" w:ascii="Times New Roman" w:hAnsi="Times New Roman" w:cs="Times New Roman"/>
          <w:sz w:val="28"/>
          <w:szCs w:val="28"/>
          <w:highlight w:val="none"/>
          <w:u w:val="single"/>
        </w:rPr>
        <w:t xml:space="preserve">                                                           </w:t>
      </w:r>
    </w:p>
    <w:p>
      <w:pPr>
        <w:ind w:firstLine="560"/>
        <w:jc w:val="left"/>
        <w:rPr>
          <w:rFonts w:hint="default" w:ascii="Times New Roman" w:hAnsi="Times New Roman" w:cs="Times New Roman"/>
          <w:sz w:val="28"/>
          <w:szCs w:val="28"/>
          <w:highlight w:val="none"/>
        </w:rPr>
      </w:pPr>
    </w:p>
    <w:p>
      <w:pPr>
        <w:ind w:firstLine="560"/>
        <w:jc w:val="left"/>
        <w:rPr>
          <w:rFonts w:hint="default" w:ascii="Times New Roman" w:hAnsi="Times New Roman" w:cs="Times New Roman"/>
          <w:sz w:val="28"/>
          <w:szCs w:val="28"/>
          <w:highlight w:val="none"/>
        </w:rPr>
      </w:pPr>
    </w:p>
    <w:p>
      <w:pPr>
        <w:ind w:firstLine="560"/>
        <w:jc w:val="left"/>
        <w:rPr>
          <w:rFonts w:hint="default" w:ascii="Times New Roman" w:hAnsi="Times New Roman" w:cs="Times New Roman"/>
          <w:sz w:val="28"/>
          <w:szCs w:val="28"/>
          <w:highlight w:val="none"/>
        </w:rPr>
      </w:pPr>
    </w:p>
    <w:p>
      <w:pPr>
        <w:ind w:firstLine="560"/>
        <w:jc w:val="left"/>
        <w:rPr>
          <w:rFonts w:hint="default" w:ascii="Times New Roman" w:hAnsi="Times New Roman" w:cs="Times New Roman"/>
          <w:sz w:val="28"/>
          <w:szCs w:val="28"/>
          <w:highlight w:val="none"/>
        </w:rPr>
      </w:pPr>
    </w:p>
    <w:p>
      <w:pPr>
        <w:ind w:firstLine="0" w:firstLineChars="0"/>
        <w:jc w:val="center"/>
        <w:rPr>
          <w:rFonts w:hint="default" w:ascii="Times New Roman" w:hAnsi="Times New Roman" w:eastAsia="黑体" w:cs="Times New Roman"/>
          <w:sz w:val="52"/>
          <w:szCs w:val="28"/>
          <w:highlight w:val="none"/>
        </w:rPr>
      </w:pPr>
      <w:r>
        <w:rPr>
          <w:rFonts w:hint="default" w:ascii="Times New Roman" w:hAnsi="Times New Roman" w:eastAsia="黑体" w:cs="Times New Roman"/>
          <w:sz w:val="52"/>
          <w:szCs w:val="28"/>
          <w:highlight w:val="none"/>
        </w:rPr>
        <w:t>糖尿病数字化健康干预系统技术架构与支撑体系要求</w:t>
      </w:r>
    </w:p>
    <w:p>
      <w:pPr>
        <w:ind w:firstLine="560"/>
        <w:jc w:val="center"/>
        <w:rPr>
          <w:rFonts w:hint="default" w:ascii="Times New Roman" w:hAnsi="Times New Roman" w:cs="Times New Roman"/>
          <w:sz w:val="28"/>
          <w:szCs w:val="28"/>
          <w:highlight w:val="none"/>
        </w:rPr>
      </w:pPr>
      <w:r>
        <w:rPr>
          <w:rFonts w:hint="default" w:ascii="Times New Roman" w:hAnsi="Times New Roman" w:eastAsia="等线" w:cs="Times New Roman"/>
          <w:sz w:val="28"/>
          <w:szCs w:val="28"/>
          <w:highlight w:val="none"/>
        </w:rPr>
        <w:t>Technical architecture and support system requirements for digital health intervention system of diabetes</w:t>
      </w:r>
    </w:p>
    <w:p>
      <w:pPr>
        <w:ind w:firstLine="0" w:firstLineChars="0"/>
        <w:jc w:val="left"/>
        <w:rPr>
          <w:rFonts w:hint="default" w:ascii="Times New Roman" w:hAnsi="Times New Roman" w:cs="Times New Roman"/>
          <w:sz w:val="28"/>
          <w:szCs w:val="28"/>
          <w:highlight w:val="none"/>
        </w:rPr>
      </w:pPr>
    </w:p>
    <w:p>
      <w:pPr>
        <w:ind w:firstLine="560"/>
        <w:jc w:val="left"/>
        <w:rPr>
          <w:rFonts w:hint="default" w:ascii="Times New Roman" w:hAnsi="Times New Roman" w:cs="Times New Roman"/>
          <w:sz w:val="28"/>
          <w:szCs w:val="28"/>
          <w:highlight w:val="none"/>
        </w:rPr>
      </w:pPr>
    </w:p>
    <w:p>
      <w:pPr>
        <w:ind w:firstLine="560"/>
        <w:jc w:val="left"/>
        <w:rPr>
          <w:rFonts w:hint="default" w:ascii="Times New Roman" w:hAnsi="Times New Roman" w:cs="Times New Roman"/>
          <w:sz w:val="28"/>
          <w:szCs w:val="28"/>
          <w:highlight w:val="none"/>
        </w:rPr>
      </w:pPr>
    </w:p>
    <w:p>
      <w:pPr>
        <w:ind w:firstLine="280" w:firstLineChars="100"/>
        <w:jc w:val="left"/>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XXXX年XX月XX日</w:t>
      </w:r>
      <w:r>
        <w:rPr>
          <w:rFonts w:hint="eastAsia" w:ascii="Times New Roman" w:hAnsi="Times New Roman" w:cs="Times New Roman"/>
          <w:sz w:val="28"/>
          <w:szCs w:val="28"/>
          <w:highlight w:val="none"/>
          <w:lang w:val="en-US" w:eastAsia="zh-CN"/>
        </w:rPr>
        <w:t>发布</w:t>
      </w:r>
      <w:r>
        <w:rPr>
          <w:rFonts w:hint="default" w:ascii="Times New Roman" w:hAnsi="Times New Roman" w:cs="Times New Roman"/>
          <w:sz w:val="28"/>
          <w:szCs w:val="28"/>
          <w:highlight w:val="none"/>
        </w:rPr>
        <w:t xml:space="preserve">         XXXX年XX月XX日实施</w:t>
      </w:r>
    </w:p>
    <w:p>
      <w:pPr>
        <w:ind w:firstLine="280" w:firstLineChars="100"/>
        <w:jc w:val="left"/>
        <w:rPr>
          <w:rFonts w:hint="default" w:ascii="Times New Roman" w:hAnsi="Times New Roman" w:cs="Times New Roman"/>
          <w:sz w:val="28"/>
          <w:szCs w:val="28"/>
          <w:highlight w:val="none"/>
          <w:u w:val="single"/>
        </w:rPr>
      </w:pPr>
      <w:r>
        <w:rPr>
          <w:rFonts w:hint="default" w:ascii="Times New Roman" w:hAnsi="Times New Roman" w:cs="Times New Roman"/>
          <w:sz w:val="28"/>
          <w:szCs w:val="28"/>
          <w:highlight w:val="none"/>
          <w:u w:val="single"/>
        </w:rPr>
        <w:t xml:space="preserve">                                                           </w:t>
      </w:r>
    </w:p>
    <w:p>
      <w:pPr>
        <w:ind w:firstLine="800"/>
        <w:jc w:val="center"/>
        <w:rPr>
          <w:rFonts w:hint="default" w:ascii="Times New Roman" w:hAnsi="Times New Roman" w:eastAsia="黑体" w:cs="Times New Roman"/>
          <w:sz w:val="28"/>
          <w:szCs w:val="28"/>
          <w:highlight w:val="none"/>
          <w:lang w:val="en-US" w:eastAsia="zh-CN"/>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r>
        <w:rPr>
          <w:rFonts w:hint="default" w:ascii="Times New Roman" w:hAnsi="Times New Roman" w:cs="Times New Roman"/>
          <w:sz w:val="36"/>
          <w:szCs w:val="24"/>
          <w:highlight w:val="none"/>
        </w:rPr>
        <w:t>北京慢性病防治与健康教育研究会</w:t>
      </w:r>
      <w:r>
        <w:rPr>
          <w:rFonts w:hint="default" w:ascii="Times New Roman" w:hAnsi="Times New Roman" w:cs="Times New Roman"/>
          <w:sz w:val="40"/>
          <w:szCs w:val="28"/>
          <w:highlight w:val="none"/>
        </w:rPr>
        <w:t xml:space="preserve"> </w:t>
      </w:r>
      <w:r>
        <w:rPr>
          <w:rFonts w:hint="default" w:ascii="Times New Roman" w:hAnsi="Times New Roman" w:eastAsia="黑体" w:cs="Times New Roman"/>
          <w:sz w:val="28"/>
          <w:szCs w:val="28"/>
          <w:highlight w:val="none"/>
        </w:rPr>
        <w:t>发</w:t>
      </w:r>
      <w:r>
        <w:rPr>
          <w:rFonts w:hint="default" w:ascii="Times New Roman" w:hAnsi="Times New Roman" w:eastAsia="黑体" w:cs="Times New Roman"/>
          <w:sz w:val="28"/>
          <w:szCs w:val="28"/>
          <w:highlight w:val="none"/>
          <w:lang w:val="en-US" w:eastAsia="zh-CN"/>
        </w:rPr>
        <w:t>布</w:t>
      </w:r>
    </w:p>
    <w:sdt>
      <w:sdtPr>
        <w:rPr>
          <w:rFonts w:ascii="宋体" w:hAnsi="宋体" w:eastAsia="宋体" w:cstheme="minorBidi"/>
          <w:kern w:val="2"/>
          <w:sz w:val="21"/>
          <w:szCs w:val="22"/>
          <w:lang w:val="en-US" w:eastAsia="zh-CN" w:bidi="ar-SA"/>
        </w:rPr>
        <w:id w:val="147453009"/>
        <w15:color w:val="DBDBDB"/>
        <w:docPartObj>
          <w:docPartGallery w:val="Table of Contents"/>
          <w:docPartUnique/>
        </w:docPartObj>
      </w:sdtPr>
      <w:sdtEndPr>
        <w:rPr>
          <w:rFonts w:hint="default" w:ascii="Times New Roman" w:hAnsi="Times New Roman" w:eastAsia="黑体" w:cs="Times New Roman"/>
          <w:kern w:val="2"/>
          <w:sz w:val="21"/>
          <w:szCs w:val="28"/>
          <w:highlight w:val="none"/>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0"/>
            <w:tabs>
              <w:tab w:val="right" w:leader="dot" w:pos="8306"/>
            </w:tabs>
          </w:pPr>
          <w:r>
            <w:rPr>
              <w:rFonts w:hint="default" w:ascii="Times New Roman" w:hAnsi="Times New Roman" w:eastAsia="黑体" w:cs="Times New Roman"/>
              <w:sz w:val="28"/>
              <w:szCs w:val="28"/>
              <w:highlight w:val="none"/>
              <w:lang w:val="en-US" w:eastAsia="zh-CN"/>
            </w:rPr>
            <w:fldChar w:fldCharType="begin"/>
          </w:r>
          <w:r>
            <w:rPr>
              <w:rFonts w:hint="default" w:ascii="Times New Roman" w:hAnsi="Times New Roman" w:eastAsia="黑体" w:cs="Times New Roman"/>
              <w:sz w:val="28"/>
              <w:szCs w:val="28"/>
              <w:highlight w:val="none"/>
              <w:lang w:val="en-US" w:eastAsia="zh-CN"/>
            </w:rPr>
            <w:instrText xml:space="preserve">TOC \o "1-2" \h \u </w:instrText>
          </w:r>
          <w:r>
            <w:rPr>
              <w:rFonts w:hint="default" w:ascii="Times New Roman" w:hAnsi="Times New Roman" w:eastAsia="黑体" w:cs="Times New Roman"/>
              <w:sz w:val="28"/>
              <w:szCs w:val="28"/>
              <w:highlight w:val="none"/>
              <w:lang w:val="en-US" w:eastAsia="zh-CN"/>
            </w:rPr>
            <w:fldChar w:fldCharType="separate"/>
          </w:r>
          <w:r>
            <w:rPr>
              <w:rFonts w:hint="default" w:ascii="Times New Roman" w:hAnsi="Times New Roman" w:eastAsia="黑体" w:cs="Times New Roman"/>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_Toc30132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黑体" w:cs="Times New Roman"/>
              <w:bCs/>
            </w:rPr>
            <w:t>前  言</w:t>
          </w:r>
          <w:r>
            <w:tab/>
          </w:r>
          <w:r>
            <w:fldChar w:fldCharType="begin"/>
          </w:r>
          <w:r>
            <w:instrText xml:space="preserve"> PAGEREF _Toc30132 \h </w:instrText>
          </w:r>
          <w:r>
            <w:fldChar w:fldCharType="separate"/>
          </w:r>
          <w:r>
            <w:t>4</w:t>
          </w:r>
          <w:r>
            <w:fldChar w:fldCharType="end"/>
          </w:r>
          <w:r>
            <w:rPr>
              <w:rFonts w:hint="default" w:ascii="Times New Roman" w:hAnsi="Times New Roman" w:eastAsia="黑体" w:cs="Times New Roman"/>
              <w:szCs w:val="28"/>
              <w:highlight w:val="none"/>
              <w:lang w:val="en-US" w:eastAsia="zh-CN"/>
            </w:rPr>
            <w:fldChar w:fldCharType="end"/>
          </w:r>
        </w:p>
        <w:p>
          <w:pPr>
            <w:pStyle w:val="10"/>
            <w:tabs>
              <w:tab w:val="right" w:leader="dot" w:pos="8306"/>
            </w:tabs>
          </w:pPr>
          <w:r>
            <w:rPr>
              <w:rFonts w:hint="default" w:ascii="Times New Roman" w:hAnsi="Times New Roman" w:eastAsia="黑体" w:cs="Times New Roman"/>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_Toc2552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黑体" w:cs="Times New Roman"/>
              <w:bCs/>
            </w:rPr>
            <w:t>引 言</w:t>
          </w:r>
          <w:r>
            <w:tab/>
          </w:r>
          <w:r>
            <w:fldChar w:fldCharType="begin"/>
          </w:r>
          <w:r>
            <w:instrText xml:space="preserve"> PAGEREF _Toc2552 \h </w:instrText>
          </w:r>
          <w:r>
            <w:fldChar w:fldCharType="separate"/>
          </w:r>
          <w:r>
            <w:t>5</w:t>
          </w:r>
          <w:r>
            <w:fldChar w:fldCharType="end"/>
          </w:r>
          <w:r>
            <w:rPr>
              <w:rFonts w:hint="default" w:ascii="Times New Roman" w:hAnsi="Times New Roman" w:eastAsia="黑体" w:cs="Times New Roman"/>
              <w:szCs w:val="28"/>
              <w:highlight w:val="none"/>
              <w:lang w:val="en-US" w:eastAsia="zh-CN"/>
            </w:rPr>
            <w:fldChar w:fldCharType="end"/>
          </w:r>
        </w:p>
        <w:p>
          <w:pPr>
            <w:pStyle w:val="10"/>
            <w:tabs>
              <w:tab w:val="right" w:leader="dot" w:pos="8306"/>
            </w:tabs>
          </w:pPr>
          <w:r>
            <w:rPr>
              <w:rFonts w:hint="default" w:ascii="Times New Roman" w:hAnsi="Times New Roman" w:eastAsia="黑体" w:cs="Times New Roman"/>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_Toc6617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黑体" w:cs="Times New Roman"/>
            </w:rPr>
            <w:t>糖尿病数字健康干预系统技术架构与运行支撑要求</w:t>
          </w:r>
          <w:r>
            <w:tab/>
          </w:r>
          <w:r>
            <w:fldChar w:fldCharType="begin"/>
          </w:r>
          <w:r>
            <w:instrText xml:space="preserve"> PAGEREF _Toc6617 \h </w:instrText>
          </w:r>
          <w:r>
            <w:fldChar w:fldCharType="separate"/>
          </w:r>
          <w:r>
            <w:t>6</w:t>
          </w:r>
          <w:r>
            <w:fldChar w:fldCharType="end"/>
          </w:r>
          <w:r>
            <w:rPr>
              <w:rFonts w:hint="default" w:ascii="Times New Roman" w:hAnsi="Times New Roman" w:eastAsia="黑体" w:cs="Times New Roman"/>
              <w:szCs w:val="28"/>
              <w:highlight w:val="none"/>
              <w:lang w:val="en-US" w:eastAsia="zh-CN"/>
            </w:rPr>
            <w:fldChar w:fldCharType="end"/>
          </w:r>
        </w:p>
        <w:p>
          <w:pPr>
            <w:pStyle w:val="11"/>
            <w:tabs>
              <w:tab w:val="right" w:leader="dot" w:pos="8306"/>
            </w:tabs>
            <w:rPr>
              <w:rFonts w:hint="eastAsia" w:ascii="黑体" w:hAnsi="黑体" w:eastAsia="黑体" w:cs="黑体"/>
            </w:rPr>
          </w:pPr>
          <w:r>
            <w:rPr>
              <w:rFonts w:hint="eastAsia" w:ascii="黑体" w:hAnsi="黑体" w:eastAsia="黑体" w:cs="黑体"/>
              <w:szCs w:val="28"/>
              <w:highlight w:val="none"/>
              <w:lang w:val="en-US" w:eastAsia="zh-CN"/>
            </w:rPr>
            <w:fldChar w:fldCharType="begin"/>
          </w:r>
          <w:r>
            <w:rPr>
              <w:rFonts w:hint="eastAsia" w:ascii="黑体" w:hAnsi="黑体" w:eastAsia="黑体" w:cs="黑体"/>
              <w:szCs w:val="28"/>
              <w:highlight w:val="none"/>
              <w:lang w:val="en-US" w:eastAsia="zh-CN"/>
            </w:rPr>
            <w:instrText xml:space="preserve"> HYPERLINK \l _Toc18076 </w:instrText>
          </w:r>
          <w:r>
            <w:rPr>
              <w:rFonts w:hint="eastAsia" w:ascii="黑体" w:hAnsi="黑体" w:eastAsia="黑体" w:cs="黑体"/>
              <w:szCs w:val="28"/>
              <w:highlight w:val="none"/>
              <w:lang w:val="en-US" w:eastAsia="zh-CN"/>
            </w:rPr>
            <w:fldChar w:fldCharType="separate"/>
          </w:r>
          <w:r>
            <w:rPr>
              <w:rFonts w:hint="eastAsia" w:ascii="黑体" w:hAnsi="黑体" w:eastAsia="黑体" w:cs="黑体"/>
              <w:i w:val="0"/>
            </w:rPr>
            <w:t xml:space="preserve">1 </w:t>
          </w:r>
          <w:r>
            <w:rPr>
              <w:rFonts w:hint="eastAsia" w:ascii="黑体" w:hAnsi="黑体" w:eastAsia="黑体" w:cs="黑体"/>
            </w:rPr>
            <w:t>范围</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_Toc18076 \h </w:instrText>
          </w:r>
          <w:r>
            <w:rPr>
              <w:rFonts w:hint="eastAsia" w:ascii="黑体" w:hAnsi="黑体" w:eastAsia="黑体" w:cs="黑体"/>
            </w:rPr>
            <w:fldChar w:fldCharType="separate"/>
          </w:r>
          <w:r>
            <w:rPr>
              <w:rFonts w:hint="eastAsia" w:ascii="黑体" w:hAnsi="黑体" w:eastAsia="黑体" w:cs="黑体"/>
            </w:rPr>
            <w:t>6</w:t>
          </w:r>
          <w:r>
            <w:rPr>
              <w:rFonts w:hint="eastAsia" w:ascii="黑体" w:hAnsi="黑体" w:eastAsia="黑体" w:cs="黑体"/>
            </w:rPr>
            <w:fldChar w:fldCharType="end"/>
          </w:r>
          <w:r>
            <w:rPr>
              <w:rFonts w:hint="eastAsia" w:ascii="黑体" w:hAnsi="黑体" w:eastAsia="黑体" w:cs="黑体"/>
              <w:szCs w:val="28"/>
              <w:highlight w:val="none"/>
              <w:lang w:val="en-US" w:eastAsia="zh-CN"/>
            </w:rPr>
            <w:fldChar w:fldCharType="end"/>
          </w:r>
        </w:p>
        <w:p>
          <w:pPr>
            <w:pStyle w:val="11"/>
            <w:tabs>
              <w:tab w:val="right" w:leader="dot" w:pos="8306"/>
            </w:tabs>
            <w:rPr>
              <w:rFonts w:hint="eastAsia" w:ascii="黑体" w:hAnsi="黑体" w:eastAsia="黑体" w:cs="黑体"/>
            </w:rPr>
          </w:pPr>
          <w:r>
            <w:rPr>
              <w:rFonts w:hint="eastAsia" w:ascii="黑体" w:hAnsi="黑体" w:eastAsia="黑体" w:cs="黑体"/>
              <w:szCs w:val="28"/>
              <w:highlight w:val="none"/>
              <w:lang w:val="en-US" w:eastAsia="zh-CN"/>
            </w:rPr>
            <w:fldChar w:fldCharType="begin"/>
          </w:r>
          <w:r>
            <w:rPr>
              <w:rFonts w:hint="eastAsia" w:ascii="黑体" w:hAnsi="黑体" w:eastAsia="黑体" w:cs="黑体"/>
              <w:szCs w:val="28"/>
              <w:highlight w:val="none"/>
              <w:lang w:val="en-US" w:eastAsia="zh-CN"/>
            </w:rPr>
            <w:instrText xml:space="preserve"> HYPERLINK \l _Toc9168 </w:instrText>
          </w:r>
          <w:r>
            <w:rPr>
              <w:rFonts w:hint="eastAsia" w:ascii="黑体" w:hAnsi="黑体" w:eastAsia="黑体" w:cs="黑体"/>
              <w:szCs w:val="28"/>
              <w:highlight w:val="none"/>
              <w:lang w:val="en-US" w:eastAsia="zh-CN"/>
            </w:rPr>
            <w:fldChar w:fldCharType="separate"/>
          </w:r>
          <w:r>
            <w:rPr>
              <w:rFonts w:hint="eastAsia" w:ascii="黑体" w:hAnsi="黑体" w:eastAsia="黑体" w:cs="黑体"/>
              <w:i w:val="0"/>
            </w:rPr>
            <w:t xml:space="preserve">2 </w:t>
          </w:r>
          <w:r>
            <w:rPr>
              <w:rFonts w:hint="eastAsia" w:ascii="黑体" w:hAnsi="黑体" w:eastAsia="黑体" w:cs="黑体"/>
            </w:rPr>
            <w:t>规范性引用文件</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_Toc9168 \h </w:instrText>
          </w:r>
          <w:r>
            <w:rPr>
              <w:rFonts w:hint="eastAsia" w:ascii="黑体" w:hAnsi="黑体" w:eastAsia="黑体" w:cs="黑体"/>
            </w:rPr>
            <w:fldChar w:fldCharType="separate"/>
          </w:r>
          <w:r>
            <w:rPr>
              <w:rFonts w:hint="eastAsia" w:ascii="黑体" w:hAnsi="黑体" w:eastAsia="黑体" w:cs="黑体"/>
            </w:rPr>
            <w:t>6</w:t>
          </w:r>
          <w:r>
            <w:rPr>
              <w:rFonts w:hint="eastAsia" w:ascii="黑体" w:hAnsi="黑体" w:eastAsia="黑体" w:cs="黑体"/>
            </w:rPr>
            <w:fldChar w:fldCharType="end"/>
          </w:r>
          <w:r>
            <w:rPr>
              <w:rFonts w:hint="eastAsia" w:ascii="黑体" w:hAnsi="黑体" w:eastAsia="黑体" w:cs="黑体"/>
              <w:szCs w:val="28"/>
              <w:highlight w:val="none"/>
              <w:lang w:val="en-US" w:eastAsia="zh-CN"/>
            </w:rPr>
            <w:fldChar w:fldCharType="end"/>
          </w:r>
        </w:p>
        <w:p>
          <w:pPr>
            <w:pStyle w:val="11"/>
            <w:tabs>
              <w:tab w:val="right" w:leader="dot" w:pos="8306"/>
            </w:tabs>
            <w:rPr>
              <w:rFonts w:hint="eastAsia" w:ascii="黑体" w:hAnsi="黑体" w:eastAsia="黑体" w:cs="黑体"/>
            </w:rPr>
          </w:pPr>
          <w:r>
            <w:rPr>
              <w:rFonts w:hint="eastAsia" w:ascii="黑体" w:hAnsi="黑体" w:eastAsia="黑体" w:cs="黑体"/>
              <w:szCs w:val="28"/>
              <w:highlight w:val="none"/>
              <w:lang w:val="en-US" w:eastAsia="zh-CN"/>
            </w:rPr>
            <w:fldChar w:fldCharType="begin"/>
          </w:r>
          <w:r>
            <w:rPr>
              <w:rFonts w:hint="eastAsia" w:ascii="黑体" w:hAnsi="黑体" w:eastAsia="黑体" w:cs="黑体"/>
              <w:szCs w:val="28"/>
              <w:highlight w:val="none"/>
              <w:lang w:val="en-US" w:eastAsia="zh-CN"/>
            </w:rPr>
            <w:instrText xml:space="preserve"> HYPERLINK \l _Toc14253 </w:instrText>
          </w:r>
          <w:r>
            <w:rPr>
              <w:rFonts w:hint="eastAsia" w:ascii="黑体" w:hAnsi="黑体" w:eastAsia="黑体" w:cs="黑体"/>
              <w:szCs w:val="28"/>
              <w:highlight w:val="none"/>
              <w:lang w:val="en-US" w:eastAsia="zh-CN"/>
            </w:rPr>
            <w:fldChar w:fldCharType="separate"/>
          </w:r>
          <w:r>
            <w:rPr>
              <w:rFonts w:hint="eastAsia" w:ascii="黑体" w:hAnsi="黑体" w:eastAsia="黑体" w:cs="黑体"/>
              <w:i w:val="0"/>
            </w:rPr>
            <w:t xml:space="preserve">3 </w:t>
          </w:r>
          <w:r>
            <w:rPr>
              <w:rFonts w:hint="eastAsia" w:ascii="黑体" w:hAnsi="黑体" w:eastAsia="黑体" w:cs="黑体"/>
            </w:rPr>
            <w:t>术语和定义</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_Toc14253 \h </w:instrText>
          </w:r>
          <w:r>
            <w:rPr>
              <w:rFonts w:hint="eastAsia" w:ascii="黑体" w:hAnsi="黑体" w:eastAsia="黑体" w:cs="黑体"/>
            </w:rPr>
            <w:fldChar w:fldCharType="separate"/>
          </w:r>
          <w:r>
            <w:rPr>
              <w:rFonts w:hint="eastAsia" w:ascii="黑体" w:hAnsi="黑体" w:eastAsia="黑体" w:cs="黑体"/>
            </w:rPr>
            <w:t>6</w:t>
          </w:r>
          <w:r>
            <w:rPr>
              <w:rFonts w:hint="eastAsia" w:ascii="黑体" w:hAnsi="黑体" w:eastAsia="黑体" w:cs="黑体"/>
            </w:rPr>
            <w:fldChar w:fldCharType="end"/>
          </w:r>
          <w:r>
            <w:rPr>
              <w:rFonts w:hint="eastAsia" w:ascii="黑体" w:hAnsi="黑体" w:eastAsia="黑体" w:cs="黑体"/>
              <w:szCs w:val="28"/>
              <w:highlight w:val="none"/>
              <w:lang w:val="en-US" w:eastAsia="zh-CN"/>
            </w:rPr>
            <w:fldChar w:fldCharType="end"/>
          </w:r>
        </w:p>
        <w:p>
          <w:pPr>
            <w:pStyle w:val="11"/>
            <w:tabs>
              <w:tab w:val="right" w:leader="dot" w:pos="8306"/>
            </w:tabs>
            <w:rPr>
              <w:rFonts w:hint="eastAsia" w:ascii="黑体" w:hAnsi="黑体" w:eastAsia="黑体" w:cs="黑体"/>
            </w:rPr>
          </w:pPr>
          <w:r>
            <w:rPr>
              <w:rFonts w:hint="eastAsia" w:ascii="黑体" w:hAnsi="黑体" w:eastAsia="黑体" w:cs="黑体"/>
              <w:szCs w:val="28"/>
              <w:highlight w:val="none"/>
              <w:lang w:val="en-US" w:eastAsia="zh-CN"/>
            </w:rPr>
            <w:fldChar w:fldCharType="begin"/>
          </w:r>
          <w:r>
            <w:rPr>
              <w:rFonts w:hint="eastAsia" w:ascii="黑体" w:hAnsi="黑体" w:eastAsia="黑体" w:cs="黑体"/>
              <w:szCs w:val="28"/>
              <w:highlight w:val="none"/>
              <w:lang w:val="en-US" w:eastAsia="zh-CN"/>
            </w:rPr>
            <w:instrText xml:space="preserve"> HYPERLINK \l _Toc14296 </w:instrText>
          </w:r>
          <w:r>
            <w:rPr>
              <w:rFonts w:hint="eastAsia" w:ascii="黑体" w:hAnsi="黑体" w:eastAsia="黑体" w:cs="黑体"/>
              <w:szCs w:val="28"/>
              <w:highlight w:val="none"/>
              <w:lang w:val="en-US" w:eastAsia="zh-CN"/>
            </w:rPr>
            <w:fldChar w:fldCharType="separate"/>
          </w:r>
          <w:r>
            <w:rPr>
              <w:rFonts w:hint="eastAsia" w:ascii="黑体" w:hAnsi="黑体" w:eastAsia="黑体" w:cs="黑体"/>
              <w:i w:val="0"/>
            </w:rPr>
            <w:t xml:space="preserve">4 </w:t>
          </w:r>
          <w:r>
            <w:rPr>
              <w:rFonts w:hint="eastAsia" w:ascii="黑体" w:hAnsi="黑体" w:eastAsia="黑体" w:cs="黑体"/>
            </w:rPr>
            <w:t>基本要求</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_Toc14296 \h </w:instrText>
          </w:r>
          <w:r>
            <w:rPr>
              <w:rFonts w:hint="eastAsia" w:ascii="黑体" w:hAnsi="黑体" w:eastAsia="黑体" w:cs="黑体"/>
            </w:rPr>
            <w:fldChar w:fldCharType="separate"/>
          </w:r>
          <w:r>
            <w:rPr>
              <w:rFonts w:hint="eastAsia" w:ascii="黑体" w:hAnsi="黑体" w:eastAsia="黑体" w:cs="黑体"/>
            </w:rPr>
            <w:t>7</w:t>
          </w:r>
          <w:r>
            <w:rPr>
              <w:rFonts w:hint="eastAsia" w:ascii="黑体" w:hAnsi="黑体" w:eastAsia="黑体" w:cs="黑体"/>
            </w:rPr>
            <w:fldChar w:fldCharType="end"/>
          </w:r>
          <w:r>
            <w:rPr>
              <w:rFonts w:hint="eastAsia" w:ascii="黑体" w:hAnsi="黑体" w:eastAsia="黑体" w:cs="黑体"/>
              <w:szCs w:val="28"/>
              <w:highlight w:val="none"/>
              <w:lang w:val="en-US" w:eastAsia="zh-CN"/>
            </w:rPr>
            <w:fldChar w:fldCharType="end"/>
          </w:r>
        </w:p>
        <w:p>
          <w:pPr>
            <w:pStyle w:val="11"/>
            <w:tabs>
              <w:tab w:val="right" w:leader="dot" w:pos="8306"/>
            </w:tabs>
            <w:rPr>
              <w:rFonts w:hint="eastAsia" w:ascii="黑体" w:hAnsi="黑体" w:eastAsia="黑体" w:cs="黑体"/>
            </w:rPr>
          </w:pPr>
          <w:r>
            <w:rPr>
              <w:rFonts w:hint="eastAsia" w:ascii="黑体" w:hAnsi="黑体" w:eastAsia="黑体" w:cs="黑体"/>
              <w:szCs w:val="28"/>
              <w:highlight w:val="none"/>
              <w:lang w:val="en-US" w:eastAsia="zh-CN"/>
            </w:rPr>
            <w:fldChar w:fldCharType="begin"/>
          </w:r>
          <w:r>
            <w:rPr>
              <w:rFonts w:hint="eastAsia" w:ascii="黑体" w:hAnsi="黑体" w:eastAsia="黑体" w:cs="黑体"/>
              <w:szCs w:val="28"/>
              <w:highlight w:val="none"/>
              <w:lang w:val="en-US" w:eastAsia="zh-CN"/>
            </w:rPr>
            <w:instrText xml:space="preserve"> HYPERLINK \l _Toc2433 </w:instrText>
          </w:r>
          <w:r>
            <w:rPr>
              <w:rFonts w:hint="eastAsia" w:ascii="黑体" w:hAnsi="黑体" w:eastAsia="黑体" w:cs="黑体"/>
              <w:szCs w:val="28"/>
              <w:highlight w:val="none"/>
              <w:lang w:val="en-US" w:eastAsia="zh-CN"/>
            </w:rPr>
            <w:fldChar w:fldCharType="separate"/>
          </w:r>
          <w:r>
            <w:rPr>
              <w:rFonts w:hint="eastAsia" w:ascii="黑体" w:hAnsi="黑体" w:eastAsia="黑体" w:cs="黑体"/>
              <w:i w:val="0"/>
            </w:rPr>
            <w:t xml:space="preserve">5 </w:t>
          </w:r>
          <w:r>
            <w:rPr>
              <w:rFonts w:hint="eastAsia" w:ascii="黑体" w:hAnsi="黑体" w:eastAsia="黑体" w:cs="黑体"/>
            </w:rPr>
            <w:t>系统技术架构</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_Toc2433 \h </w:instrText>
          </w:r>
          <w:r>
            <w:rPr>
              <w:rFonts w:hint="eastAsia" w:ascii="黑体" w:hAnsi="黑体" w:eastAsia="黑体" w:cs="黑体"/>
            </w:rPr>
            <w:fldChar w:fldCharType="separate"/>
          </w:r>
          <w:r>
            <w:rPr>
              <w:rFonts w:hint="eastAsia" w:ascii="黑体" w:hAnsi="黑体" w:eastAsia="黑体" w:cs="黑体"/>
            </w:rPr>
            <w:t>7</w:t>
          </w:r>
          <w:r>
            <w:rPr>
              <w:rFonts w:hint="eastAsia" w:ascii="黑体" w:hAnsi="黑体" w:eastAsia="黑体" w:cs="黑体"/>
            </w:rPr>
            <w:fldChar w:fldCharType="end"/>
          </w:r>
          <w:r>
            <w:rPr>
              <w:rFonts w:hint="eastAsia" w:ascii="黑体" w:hAnsi="黑体" w:eastAsia="黑体" w:cs="黑体"/>
              <w:szCs w:val="28"/>
              <w:highlight w:val="none"/>
              <w:lang w:val="en-US" w:eastAsia="zh-CN"/>
            </w:rPr>
            <w:fldChar w:fldCharType="end"/>
          </w:r>
        </w:p>
        <w:p>
          <w:pPr>
            <w:pStyle w:val="11"/>
            <w:tabs>
              <w:tab w:val="right" w:leader="dot" w:pos="8306"/>
            </w:tabs>
            <w:rPr>
              <w:rFonts w:hint="eastAsia" w:ascii="黑体" w:hAnsi="黑体" w:eastAsia="黑体" w:cs="黑体"/>
            </w:rPr>
          </w:pPr>
          <w:r>
            <w:rPr>
              <w:rFonts w:hint="eastAsia" w:ascii="黑体" w:hAnsi="黑体" w:eastAsia="黑体" w:cs="黑体"/>
              <w:szCs w:val="28"/>
              <w:highlight w:val="none"/>
              <w:lang w:val="en-US" w:eastAsia="zh-CN"/>
            </w:rPr>
            <w:fldChar w:fldCharType="begin"/>
          </w:r>
          <w:r>
            <w:rPr>
              <w:rFonts w:hint="eastAsia" w:ascii="黑体" w:hAnsi="黑体" w:eastAsia="黑体" w:cs="黑体"/>
              <w:szCs w:val="28"/>
              <w:highlight w:val="none"/>
              <w:lang w:val="en-US" w:eastAsia="zh-CN"/>
            </w:rPr>
            <w:instrText xml:space="preserve"> HYPERLINK \l _Toc19900 </w:instrText>
          </w:r>
          <w:r>
            <w:rPr>
              <w:rFonts w:hint="eastAsia" w:ascii="黑体" w:hAnsi="黑体" w:eastAsia="黑体" w:cs="黑体"/>
              <w:szCs w:val="28"/>
              <w:highlight w:val="none"/>
              <w:lang w:val="en-US" w:eastAsia="zh-CN"/>
            </w:rPr>
            <w:fldChar w:fldCharType="separate"/>
          </w:r>
          <w:r>
            <w:rPr>
              <w:rFonts w:hint="eastAsia" w:ascii="黑体" w:hAnsi="黑体" w:eastAsia="黑体" w:cs="黑体"/>
              <w:i w:val="0"/>
            </w:rPr>
            <w:t xml:space="preserve">6 </w:t>
          </w:r>
          <w:r>
            <w:rPr>
              <w:rFonts w:hint="eastAsia" w:ascii="黑体" w:hAnsi="黑体" w:eastAsia="黑体" w:cs="黑体"/>
            </w:rPr>
            <w:t>数据接入与治理要求</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_Toc19900 \h </w:instrText>
          </w:r>
          <w:r>
            <w:rPr>
              <w:rFonts w:hint="eastAsia" w:ascii="黑体" w:hAnsi="黑体" w:eastAsia="黑体" w:cs="黑体"/>
            </w:rPr>
            <w:fldChar w:fldCharType="separate"/>
          </w:r>
          <w:r>
            <w:rPr>
              <w:rFonts w:hint="eastAsia" w:ascii="黑体" w:hAnsi="黑体" w:eastAsia="黑体" w:cs="黑体"/>
            </w:rPr>
            <w:t>8</w:t>
          </w:r>
          <w:r>
            <w:rPr>
              <w:rFonts w:hint="eastAsia" w:ascii="黑体" w:hAnsi="黑体" w:eastAsia="黑体" w:cs="黑体"/>
            </w:rPr>
            <w:fldChar w:fldCharType="end"/>
          </w:r>
          <w:r>
            <w:rPr>
              <w:rFonts w:hint="eastAsia" w:ascii="黑体" w:hAnsi="黑体" w:eastAsia="黑体" w:cs="黑体"/>
              <w:szCs w:val="28"/>
              <w:highlight w:val="none"/>
              <w:lang w:val="en-US" w:eastAsia="zh-CN"/>
            </w:rPr>
            <w:fldChar w:fldCharType="end"/>
          </w:r>
        </w:p>
        <w:p>
          <w:pPr>
            <w:pStyle w:val="11"/>
            <w:tabs>
              <w:tab w:val="right" w:leader="dot" w:pos="8306"/>
            </w:tabs>
            <w:rPr>
              <w:rFonts w:hint="eastAsia" w:ascii="黑体" w:hAnsi="黑体" w:eastAsia="黑体" w:cs="黑体"/>
            </w:rPr>
          </w:pPr>
          <w:r>
            <w:rPr>
              <w:rFonts w:hint="eastAsia" w:ascii="黑体" w:hAnsi="黑体" w:eastAsia="黑体" w:cs="黑体"/>
              <w:szCs w:val="28"/>
              <w:highlight w:val="none"/>
              <w:lang w:val="en-US" w:eastAsia="zh-CN"/>
            </w:rPr>
            <w:fldChar w:fldCharType="begin"/>
          </w:r>
          <w:r>
            <w:rPr>
              <w:rFonts w:hint="eastAsia" w:ascii="黑体" w:hAnsi="黑体" w:eastAsia="黑体" w:cs="黑体"/>
              <w:szCs w:val="28"/>
              <w:highlight w:val="none"/>
              <w:lang w:val="en-US" w:eastAsia="zh-CN"/>
            </w:rPr>
            <w:instrText xml:space="preserve"> HYPERLINK \l _Toc1621 </w:instrText>
          </w:r>
          <w:r>
            <w:rPr>
              <w:rFonts w:hint="eastAsia" w:ascii="黑体" w:hAnsi="黑体" w:eastAsia="黑体" w:cs="黑体"/>
              <w:szCs w:val="28"/>
              <w:highlight w:val="none"/>
              <w:lang w:val="en-US" w:eastAsia="zh-CN"/>
            </w:rPr>
            <w:fldChar w:fldCharType="separate"/>
          </w:r>
          <w:r>
            <w:rPr>
              <w:rFonts w:hint="eastAsia" w:ascii="黑体" w:hAnsi="黑体" w:eastAsia="黑体" w:cs="黑体"/>
              <w:i w:val="0"/>
            </w:rPr>
            <w:t xml:space="preserve">7 </w:t>
          </w:r>
          <w:r>
            <w:rPr>
              <w:rFonts w:hint="eastAsia" w:ascii="黑体" w:hAnsi="黑体" w:eastAsia="黑体" w:cs="黑体"/>
            </w:rPr>
            <w:t>智能化辅助决策与算法要求</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_Toc1621 \h </w:instrText>
          </w:r>
          <w:r>
            <w:rPr>
              <w:rFonts w:hint="eastAsia" w:ascii="黑体" w:hAnsi="黑体" w:eastAsia="黑体" w:cs="黑体"/>
            </w:rPr>
            <w:fldChar w:fldCharType="separate"/>
          </w:r>
          <w:r>
            <w:rPr>
              <w:rFonts w:hint="eastAsia" w:ascii="黑体" w:hAnsi="黑体" w:eastAsia="黑体" w:cs="黑体"/>
            </w:rPr>
            <w:t>9</w:t>
          </w:r>
          <w:r>
            <w:rPr>
              <w:rFonts w:hint="eastAsia" w:ascii="黑体" w:hAnsi="黑体" w:eastAsia="黑体" w:cs="黑体"/>
            </w:rPr>
            <w:fldChar w:fldCharType="end"/>
          </w:r>
          <w:r>
            <w:rPr>
              <w:rFonts w:hint="eastAsia" w:ascii="黑体" w:hAnsi="黑体" w:eastAsia="黑体" w:cs="黑体"/>
              <w:szCs w:val="28"/>
              <w:highlight w:val="none"/>
              <w:lang w:val="en-US" w:eastAsia="zh-CN"/>
            </w:rPr>
            <w:fldChar w:fldCharType="end"/>
          </w:r>
        </w:p>
        <w:p>
          <w:pPr>
            <w:pStyle w:val="11"/>
            <w:tabs>
              <w:tab w:val="right" w:leader="dot" w:pos="8306"/>
            </w:tabs>
            <w:rPr>
              <w:rFonts w:hint="eastAsia" w:ascii="黑体" w:hAnsi="黑体" w:eastAsia="黑体" w:cs="黑体"/>
            </w:rPr>
          </w:pPr>
          <w:r>
            <w:rPr>
              <w:rFonts w:hint="eastAsia" w:ascii="黑体" w:hAnsi="黑体" w:eastAsia="黑体" w:cs="黑体"/>
              <w:szCs w:val="28"/>
              <w:highlight w:val="none"/>
              <w:lang w:val="en-US" w:eastAsia="zh-CN"/>
            </w:rPr>
            <w:fldChar w:fldCharType="begin"/>
          </w:r>
          <w:r>
            <w:rPr>
              <w:rFonts w:hint="eastAsia" w:ascii="黑体" w:hAnsi="黑体" w:eastAsia="黑体" w:cs="黑体"/>
              <w:szCs w:val="28"/>
              <w:highlight w:val="none"/>
              <w:lang w:val="en-US" w:eastAsia="zh-CN"/>
            </w:rPr>
            <w:instrText xml:space="preserve"> HYPERLINK \l _Toc31197 </w:instrText>
          </w:r>
          <w:r>
            <w:rPr>
              <w:rFonts w:hint="eastAsia" w:ascii="黑体" w:hAnsi="黑体" w:eastAsia="黑体" w:cs="黑体"/>
              <w:szCs w:val="28"/>
              <w:highlight w:val="none"/>
              <w:lang w:val="en-US" w:eastAsia="zh-CN"/>
            </w:rPr>
            <w:fldChar w:fldCharType="separate"/>
          </w:r>
          <w:r>
            <w:rPr>
              <w:rFonts w:hint="eastAsia" w:ascii="黑体" w:hAnsi="黑体" w:eastAsia="黑体" w:cs="黑体"/>
              <w:i w:val="0"/>
            </w:rPr>
            <w:t xml:space="preserve">8 </w:t>
          </w:r>
          <w:r>
            <w:rPr>
              <w:rFonts w:hint="eastAsia" w:ascii="黑体" w:hAnsi="黑体" w:eastAsia="黑体" w:cs="黑体"/>
            </w:rPr>
            <w:t>预警与闭环处置要求</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_Toc31197 \h </w:instrText>
          </w:r>
          <w:r>
            <w:rPr>
              <w:rFonts w:hint="eastAsia" w:ascii="黑体" w:hAnsi="黑体" w:eastAsia="黑体" w:cs="黑体"/>
            </w:rPr>
            <w:fldChar w:fldCharType="separate"/>
          </w:r>
          <w:r>
            <w:rPr>
              <w:rFonts w:hint="eastAsia" w:ascii="黑体" w:hAnsi="黑体" w:eastAsia="黑体" w:cs="黑体"/>
            </w:rPr>
            <w:t>9</w:t>
          </w:r>
          <w:r>
            <w:rPr>
              <w:rFonts w:hint="eastAsia" w:ascii="黑体" w:hAnsi="黑体" w:eastAsia="黑体" w:cs="黑体"/>
            </w:rPr>
            <w:fldChar w:fldCharType="end"/>
          </w:r>
          <w:r>
            <w:rPr>
              <w:rFonts w:hint="eastAsia" w:ascii="黑体" w:hAnsi="黑体" w:eastAsia="黑体" w:cs="黑体"/>
              <w:szCs w:val="28"/>
              <w:highlight w:val="none"/>
              <w:lang w:val="en-US" w:eastAsia="zh-CN"/>
            </w:rPr>
            <w:fldChar w:fldCharType="end"/>
          </w:r>
        </w:p>
        <w:p>
          <w:pPr>
            <w:pStyle w:val="11"/>
            <w:tabs>
              <w:tab w:val="right" w:leader="dot" w:pos="8306"/>
            </w:tabs>
            <w:rPr>
              <w:rFonts w:hint="eastAsia" w:ascii="黑体" w:hAnsi="黑体" w:eastAsia="黑体" w:cs="黑体"/>
            </w:rPr>
          </w:pPr>
          <w:r>
            <w:rPr>
              <w:rFonts w:hint="eastAsia" w:ascii="黑体" w:hAnsi="黑体" w:eastAsia="黑体" w:cs="黑体"/>
              <w:szCs w:val="28"/>
              <w:highlight w:val="none"/>
              <w:lang w:val="en-US" w:eastAsia="zh-CN"/>
            </w:rPr>
            <w:fldChar w:fldCharType="begin"/>
          </w:r>
          <w:r>
            <w:rPr>
              <w:rFonts w:hint="eastAsia" w:ascii="黑体" w:hAnsi="黑体" w:eastAsia="黑体" w:cs="黑体"/>
              <w:szCs w:val="28"/>
              <w:highlight w:val="none"/>
              <w:lang w:val="en-US" w:eastAsia="zh-CN"/>
            </w:rPr>
            <w:instrText xml:space="preserve"> HYPERLINK \l _Toc32699 </w:instrText>
          </w:r>
          <w:r>
            <w:rPr>
              <w:rFonts w:hint="eastAsia" w:ascii="黑体" w:hAnsi="黑体" w:eastAsia="黑体" w:cs="黑体"/>
              <w:szCs w:val="28"/>
              <w:highlight w:val="none"/>
              <w:lang w:val="en-US" w:eastAsia="zh-CN"/>
            </w:rPr>
            <w:fldChar w:fldCharType="separate"/>
          </w:r>
          <w:r>
            <w:rPr>
              <w:rFonts w:hint="eastAsia" w:ascii="黑体" w:hAnsi="黑体" w:eastAsia="黑体" w:cs="黑体"/>
              <w:i w:val="0"/>
            </w:rPr>
            <w:t xml:space="preserve">9 </w:t>
          </w:r>
          <w:r>
            <w:rPr>
              <w:rFonts w:hint="eastAsia" w:ascii="黑体" w:hAnsi="黑体" w:eastAsia="黑体" w:cs="黑体"/>
            </w:rPr>
            <w:t>网络安全、数据安全与个人信息保护</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_Toc32699 \h </w:instrText>
          </w:r>
          <w:r>
            <w:rPr>
              <w:rFonts w:hint="eastAsia" w:ascii="黑体" w:hAnsi="黑体" w:eastAsia="黑体" w:cs="黑体"/>
            </w:rPr>
            <w:fldChar w:fldCharType="separate"/>
          </w:r>
          <w:r>
            <w:rPr>
              <w:rFonts w:hint="eastAsia" w:ascii="黑体" w:hAnsi="黑体" w:eastAsia="黑体" w:cs="黑体"/>
            </w:rPr>
            <w:t>10</w:t>
          </w:r>
          <w:r>
            <w:rPr>
              <w:rFonts w:hint="eastAsia" w:ascii="黑体" w:hAnsi="黑体" w:eastAsia="黑体" w:cs="黑体"/>
            </w:rPr>
            <w:fldChar w:fldCharType="end"/>
          </w:r>
          <w:r>
            <w:rPr>
              <w:rFonts w:hint="eastAsia" w:ascii="黑体" w:hAnsi="黑体" w:eastAsia="黑体" w:cs="黑体"/>
              <w:szCs w:val="28"/>
              <w:highlight w:val="none"/>
              <w:lang w:val="en-US" w:eastAsia="zh-CN"/>
            </w:rPr>
            <w:fldChar w:fldCharType="end"/>
          </w:r>
        </w:p>
        <w:p>
          <w:pPr>
            <w:pStyle w:val="11"/>
            <w:tabs>
              <w:tab w:val="right" w:leader="dot" w:pos="8306"/>
            </w:tabs>
            <w:rPr>
              <w:rFonts w:hint="eastAsia" w:ascii="黑体" w:hAnsi="黑体" w:eastAsia="黑体" w:cs="黑体"/>
            </w:rPr>
          </w:pPr>
          <w:r>
            <w:rPr>
              <w:rFonts w:hint="eastAsia" w:ascii="黑体" w:hAnsi="黑体" w:eastAsia="黑体" w:cs="黑体"/>
              <w:szCs w:val="28"/>
              <w:highlight w:val="none"/>
              <w:lang w:val="en-US" w:eastAsia="zh-CN"/>
            </w:rPr>
            <w:fldChar w:fldCharType="begin"/>
          </w:r>
          <w:r>
            <w:rPr>
              <w:rFonts w:hint="eastAsia" w:ascii="黑体" w:hAnsi="黑体" w:eastAsia="黑体" w:cs="黑体"/>
              <w:szCs w:val="28"/>
              <w:highlight w:val="none"/>
              <w:lang w:val="en-US" w:eastAsia="zh-CN"/>
            </w:rPr>
            <w:instrText xml:space="preserve"> HYPERLINK \l _Toc25455 </w:instrText>
          </w:r>
          <w:r>
            <w:rPr>
              <w:rFonts w:hint="eastAsia" w:ascii="黑体" w:hAnsi="黑体" w:eastAsia="黑体" w:cs="黑体"/>
              <w:szCs w:val="28"/>
              <w:highlight w:val="none"/>
              <w:lang w:val="en-US" w:eastAsia="zh-CN"/>
            </w:rPr>
            <w:fldChar w:fldCharType="separate"/>
          </w:r>
          <w:r>
            <w:rPr>
              <w:rFonts w:hint="eastAsia" w:ascii="黑体" w:hAnsi="黑体" w:eastAsia="黑体" w:cs="黑体"/>
              <w:i w:val="0"/>
            </w:rPr>
            <w:t xml:space="preserve">10 </w:t>
          </w:r>
          <w:r>
            <w:rPr>
              <w:rFonts w:hint="eastAsia" w:ascii="黑体" w:hAnsi="黑体" w:eastAsia="黑体" w:cs="黑体"/>
            </w:rPr>
            <w:t>运行支撑与运维要求</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_Toc25455 \h </w:instrText>
          </w:r>
          <w:r>
            <w:rPr>
              <w:rFonts w:hint="eastAsia" w:ascii="黑体" w:hAnsi="黑体" w:eastAsia="黑体" w:cs="黑体"/>
            </w:rPr>
            <w:fldChar w:fldCharType="separate"/>
          </w:r>
          <w:r>
            <w:rPr>
              <w:rFonts w:hint="eastAsia" w:ascii="黑体" w:hAnsi="黑体" w:eastAsia="黑体" w:cs="黑体"/>
            </w:rPr>
            <w:t>10</w:t>
          </w:r>
          <w:r>
            <w:rPr>
              <w:rFonts w:hint="eastAsia" w:ascii="黑体" w:hAnsi="黑体" w:eastAsia="黑体" w:cs="黑体"/>
            </w:rPr>
            <w:fldChar w:fldCharType="end"/>
          </w:r>
          <w:r>
            <w:rPr>
              <w:rFonts w:hint="eastAsia" w:ascii="黑体" w:hAnsi="黑体" w:eastAsia="黑体" w:cs="黑体"/>
              <w:szCs w:val="28"/>
              <w:highlight w:val="none"/>
              <w:lang w:val="en-US" w:eastAsia="zh-CN"/>
            </w:rPr>
            <w:fldChar w:fldCharType="end"/>
          </w:r>
        </w:p>
        <w:p>
          <w:pPr>
            <w:pStyle w:val="11"/>
            <w:tabs>
              <w:tab w:val="right" w:leader="dot" w:pos="8306"/>
            </w:tabs>
            <w:rPr>
              <w:rFonts w:hint="eastAsia" w:ascii="黑体" w:hAnsi="黑体" w:eastAsia="黑体" w:cs="黑体"/>
            </w:rPr>
          </w:pPr>
          <w:r>
            <w:rPr>
              <w:rFonts w:hint="eastAsia" w:ascii="黑体" w:hAnsi="黑体" w:eastAsia="黑体" w:cs="黑体"/>
              <w:szCs w:val="28"/>
              <w:highlight w:val="none"/>
              <w:lang w:val="en-US" w:eastAsia="zh-CN"/>
            </w:rPr>
            <w:fldChar w:fldCharType="begin"/>
          </w:r>
          <w:r>
            <w:rPr>
              <w:rFonts w:hint="eastAsia" w:ascii="黑体" w:hAnsi="黑体" w:eastAsia="黑体" w:cs="黑体"/>
              <w:szCs w:val="28"/>
              <w:highlight w:val="none"/>
              <w:lang w:val="en-US" w:eastAsia="zh-CN"/>
            </w:rPr>
            <w:instrText xml:space="preserve"> HYPERLINK \l _Toc21593 </w:instrText>
          </w:r>
          <w:r>
            <w:rPr>
              <w:rFonts w:hint="eastAsia" w:ascii="黑体" w:hAnsi="黑体" w:eastAsia="黑体" w:cs="黑体"/>
              <w:szCs w:val="28"/>
              <w:highlight w:val="none"/>
              <w:lang w:val="en-US" w:eastAsia="zh-CN"/>
            </w:rPr>
            <w:fldChar w:fldCharType="separate"/>
          </w:r>
          <w:r>
            <w:rPr>
              <w:rFonts w:hint="eastAsia" w:ascii="黑体" w:hAnsi="黑体" w:eastAsia="黑体" w:cs="黑体"/>
              <w:i w:val="0"/>
            </w:rPr>
            <w:t xml:space="preserve">11 </w:t>
          </w:r>
          <w:r>
            <w:rPr>
              <w:rFonts w:hint="eastAsia" w:ascii="黑体" w:hAnsi="黑体" w:eastAsia="黑体" w:cs="黑体"/>
            </w:rPr>
            <w:t>系统运行质量评测指标</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_Toc21593 \h </w:instrText>
          </w:r>
          <w:r>
            <w:rPr>
              <w:rFonts w:hint="eastAsia" w:ascii="黑体" w:hAnsi="黑体" w:eastAsia="黑体" w:cs="黑体"/>
            </w:rPr>
            <w:fldChar w:fldCharType="separate"/>
          </w:r>
          <w:r>
            <w:rPr>
              <w:rFonts w:hint="eastAsia" w:ascii="黑体" w:hAnsi="黑体" w:eastAsia="黑体" w:cs="黑体"/>
            </w:rPr>
            <w:t>11</w:t>
          </w:r>
          <w:r>
            <w:rPr>
              <w:rFonts w:hint="eastAsia" w:ascii="黑体" w:hAnsi="黑体" w:eastAsia="黑体" w:cs="黑体"/>
            </w:rPr>
            <w:fldChar w:fldCharType="end"/>
          </w:r>
          <w:r>
            <w:rPr>
              <w:rFonts w:hint="eastAsia" w:ascii="黑体" w:hAnsi="黑体" w:eastAsia="黑体" w:cs="黑体"/>
              <w:szCs w:val="28"/>
              <w:highlight w:val="none"/>
              <w:lang w:val="en-US" w:eastAsia="zh-CN"/>
            </w:rPr>
            <w:fldChar w:fldCharType="end"/>
          </w:r>
        </w:p>
        <w:p>
          <w:pPr>
            <w:pStyle w:val="11"/>
            <w:tabs>
              <w:tab w:val="right" w:leader="dot" w:pos="8306"/>
            </w:tabs>
          </w:pPr>
          <w:r>
            <w:rPr>
              <w:rFonts w:hint="eastAsia" w:ascii="黑体" w:hAnsi="黑体" w:eastAsia="黑体" w:cs="黑体"/>
              <w:szCs w:val="28"/>
              <w:highlight w:val="none"/>
              <w:lang w:val="en-US" w:eastAsia="zh-CN"/>
            </w:rPr>
            <w:fldChar w:fldCharType="begin"/>
          </w:r>
          <w:r>
            <w:rPr>
              <w:rFonts w:hint="eastAsia" w:ascii="黑体" w:hAnsi="黑体" w:eastAsia="黑体" w:cs="黑体"/>
              <w:szCs w:val="28"/>
              <w:highlight w:val="none"/>
              <w:lang w:val="en-US" w:eastAsia="zh-CN"/>
            </w:rPr>
            <w:instrText xml:space="preserve"> HYPERLINK \l _Toc31163 </w:instrText>
          </w:r>
          <w:r>
            <w:rPr>
              <w:rFonts w:hint="eastAsia" w:ascii="黑体" w:hAnsi="黑体" w:eastAsia="黑体" w:cs="黑体"/>
              <w:szCs w:val="28"/>
              <w:highlight w:val="none"/>
              <w:lang w:val="en-US" w:eastAsia="zh-CN"/>
            </w:rPr>
            <w:fldChar w:fldCharType="separate"/>
          </w:r>
          <w:r>
            <w:rPr>
              <w:rFonts w:hint="eastAsia" w:ascii="黑体" w:hAnsi="黑体" w:eastAsia="黑体" w:cs="黑体"/>
              <w:i w:val="0"/>
            </w:rPr>
            <w:t xml:space="preserve">12 </w:t>
          </w:r>
          <w:r>
            <w:rPr>
              <w:rFonts w:hint="eastAsia" w:ascii="黑体" w:hAnsi="黑体" w:eastAsia="黑体" w:cs="黑体"/>
            </w:rPr>
            <w:t>运维技术人员要求</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_Toc31163 \h </w:instrText>
          </w:r>
          <w:r>
            <w:rPr>
              <w:rFonts w:hint="eastAsia" w:ascii="黑体" w:hAnsi="黑体" w:eastAsia="黑体" w:cs="黑体"/>
            </w:rPr>
            <w:fldChar w:fldCharType="separate"/>
          </w:r>
          <w:r>
            <w:rPr>
              <w:rFonts w:hint="eastAsia" w:ascii="黑体" w:hAnsi="黑体" w:eastAsia="黑体" w:cs="黑体"/>
            </w:rPr>
            <w:t>11</w:t>
          </w:r>
          <w:r>
            <w:rPr>
              <w:rFonts w:hint="eastAsia" w:ascii="黑体" w:hAnsi="黑体" w:eastAsia="黑体" w:cs="黑体"/>
            </w:rPr>
            <w:fldChar w:fldCharType="end"/>
          </w:r>
          <w:r>
            <w:rPr>
              <w:rFonts w:hint="eastAsia" w:ascii="黑体" w:hAnsi="黑体" w:eastAsia="黑体" w:cs="黑体"/>
              <w:szCs w:val="28"/>
              <w:highlight w:val="none"/>
              <w:lang w:val="en-US" w:eastAsia="zh-CN"/>
            </w:rPr>
            <w:fldChar w:fldCharType="end"/>
          </w:r>
        </w:p>
        <w:p>
          <w:pPr>
            <w:pStyle w:val="11"/>
            <w:tabs>
              <w:tab w:val="right" w:leader="dot" w:pos="8306"/>
            </w:tabs>
          </w:pPr>
          <w:r>
            <w:rPr>
              <w:rFonts w:hint="default" w:ascii="Times New Roman" w:hAnsi="Times New Roman" w:eastAsia="黑体" w:cs="Times New Roman"/>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_Toc31908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黑体" w:cs="Times New Roman"/>
              <w:bCs/>
              <w:kern w:val="0"/>
              <w:szCs w:val="20"/>
              <w:lang w:val="en-US" w:eastAsia="zh-CN" w:bidi="ar-SA"/>
            </w:rPr>
            <w:t>附录 A</w:t>
          </w:r>
          <w:r>
            <w:rPr>
              <w:rFonts w:hint="eastAsia" w:ascii="Times New Roman" w:hAnsi="Times New Roman" w:eastAsia="黑体" w:cs="Times New Roman"/>
              <w:bCs/>
              <w:kern w:val="0"/>
              <w:szCs w:val="20"/>
              <w:lang w:val="en-US" w:eastAsia="zh-CN" w:bidi="ar-SA"/>
            </w:rPr>
            <w:t xml:space="preserve"> 糖尿病监测数据治理规则</w:t>
          </w:r>
          <w:r>
            <w:tab/>
          </w:r>
          <w:r>
            <w:fldChar w:fldCharType="begin"/>
          </w:r>
          <w:r>
            <w:instrText xml:space="preserve"> PAGEREF _Toc31908 \h </w:instrText>
          </w:r>
          <w:r>
            <w:fldChar w:fldCharType="separate"/>
          </w:r>
          <w:r>
            <w:t>12</w:t>
          </w:r>
          <w:r>
            <w:fldChar w:fldCharType="end"/>
          </w:r>
          <w:r>
            <w:rPr>
              <w:rFonts w:hint="default" w:ascii="Times New Roman" w:hAnsi="Times New Roman" w:eastAsia="黑体" w:cs="Times New Roman"/>
              <w:szCs w:val="28"/>
              <w:highlight w:val="none"/>
              <w:lang w:val="en-US" w:eastAsia="zh-CN"/>
            </w:rPr>
            <w:fldChar w:fldCharType="end"/>
          </w:r>
        </w:p>
        <w:p>
          <w:pPr>
            <w:pStyle w:val="11"/>
            <w:tabs>
              <w:tab w:val="right" w:leader="dot" w:pos="8306"/>
            </w:tabs>
          </w:pPr>
          <w:r>
            <w:rPr>
              <w:rFonts w:hint="default" w:ascii="Times New Roman" w:hAnsi="Times New Roman" w:eastAsia="黑体" w:cs="Times New Roman"/>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_Toc18539 </w:instrText>
          </w:r>
          <w:r>
            <w:rPr>
              <w:rFonts w:hint="default" w:ascii="Times New Roman" w:hAnsi="Times New Roman" w:eastAsia="黑体" w:cs="Times New Roman"/>
              <w:szCs w:val="28"/>
              <w:highlight w:val="none"/>
              <w:lang w:val="en-US" w:eastAsia="zh-CN"/>
            </w:rPr>
            <w:fldChar w:fldCharType="separate"/>
          </w:r>
          <w:r>
            <w:rPr>
              <w:rFonts w:hint="default" w:ascii="Times New Roman" w:hAnsi="Times New Roman" w:eastAsia="黑体" w:cs="Times New Roman"/>
              <w:bCs/>
              <w:kern w:val="0"/>
              <w:szCs w:val="20"/>
              <w:lang w:val="en-US" w:eastAsia="zh-CN" w:bidi="ar-SA"/>
            </w:rPr>
            <w:t>附录</w:t>
          </w:r>
          <w:r>
            <w:rPr>
              <w:rFonts w:hint="eastAsia" w:ascii="Times New Roman" w:hAnsi="Times New Roman" w:eastAsia="黑体" w:cs="Times New Roman"/>
              <w:bCs/>
              <w:kern w:val="0"/>
              <w:szCs w:val="20"/>
              <w:lang w:val="en-US" w:eastAsia="zh-CN" w:bidi="ar-SA"/>
            </w:rPr>
            <w:t xml:space="preserve"> </w:t>
          </w:r>
          <w:r>
            <w:rPr>
              <w:rFonts w:hint="default" w:ascii="Times New Roman" w:hAnsi="Times New Roman" w:eastAsia="黑体" w:cs="Times New Roman"/>
              <w:bCs/>
              <w:kern w:val="0"/>
              <w:szCs w:val="20"/>
              <w:lang w:val="en-US" w:eastAsia="zh-CN" w:bidi="ar-SA"/>
            </w:rPr>
            <w:t>B</w:t>
          </w:r>
          <w:r>
            <w:rPr>
              <w:rFonts w:hint="eastAsia" w:ascii="Times New Roman" w:hAnsi="Times New Roman" w:eastAsia="黑体" w:cs="Times New Roman"/>
              <w:bCs/>
              <w:kern w:val="0"/>
              <w:szCs w:val="20"/>
              <w:lang w:val="en-US" w:eastAsia="zh-CN" w:bidi="ar-SA"/>
            </w:rPr>
            <w:t xml:space="preserve"> 糖尿病数字化健康干预系统技术运行评价指标计算方法</w:t>
          </w:r>
          <w:r>
            <w:tab/>
          </w:r>
          <w:r>
            <w:fldChar w:fldCharType="begin"/>
          </w:r>
          <w:r>
            <w:instrText xml:space="preserve"> PAGEREF _Toc18539 \h </w:instrText>
          </w:r>
          <w:r>
            <w:fldChar w:fldCharType="separate"/>
          </w:r>
          <w:r>
            <w:t>13</w:t>
          </w:r>
          <w:r>
            <w:fldChar w:fldCharType="end"/>
          </w:r>
          <w:r>
            <w:rPr>
              <w:rFonts w:hint="default" w:ascii="Times New Roman" w:hAnsi="Times New Roman" w:eastAsia="黑体" w:cs="Times New Roman"/>
              <w:szCs w:val="28"/>
              <w:highlight w:val="none"/>
              <w:lang w:val="en-US" w:eastAsia="zh-CN"/>
            </w:rPr>
            <w:fldChar w:fldCharType="end"/>
          </w:r>
        </w:p>
        <w:p>
          <w:pPr>
            <w:pStyle w:val="11"/>
            <w:tabs>
              <w:tab w:val="right" w:leader="dot" w:pos="8306"/>
            </w:tabs>
          </w:pPr>
          <w:r>
            <w:rPr>
              <w:rFonts w:hint="default" w:ascii="Times New Roman" w:hAnsi="Times New Roman" w:eastAsia="黑体" w:cs="Times New Roman"/>
              <w:szCs w:val="28"/>
              <w:highlight w:val="none"/>
              <w:lang w:val="en-US" w:eastAsia="zh-CN"/>
            </w:rPr>
            <w:fldChar w:fldCharType="begin"/>
          </w:r>
          <w:r>
            <w:rPr>
              <w:rFonts w:hint="default" w:ascii="Times New Roman" w:hAnsi="Times New Roman" w:eastAsia="黑体" w:cs="Times New Roman"/>
              <w:szCs w:val="28"/>
              <w:highlight w:val="none"/>
              <w:lang w:val="en-US" w:eastAsia="zh-CN"/>
            </w:rPr>
            <w:instrText xml:space="preserve"> HYPERLINK \l _Toc7812 </w:instrText>
          </w:r>
          <w:r>
            <w:rPr>
              <w:rFonts w:hint="default" w:ascii="Times New Roman" w:hAnsi="Times New Roman" w:eastAsia="黑体" w:cs="Times New Roman"/>
              <w:szCs w:val="28"/>
              <w:highlight w:val="none"/>
              <w:lang w:val="en-US" w:eastAsia="zh-CN"/>
            </w:rPr>
            <w:fldChar w:fldCharType="separate"/>
          </w:r>
          <w:r>
            <w:rPr>
              <w:rFonts w:hint="eastAsia" w:ascii="黑体" w:hAnsi="黑体" w:eastAsia="黑体" w:cs="黑体"/>
              <w:bCs w:val="0"/>
            </w:rPr>
            <w:t>参考文献</w:t>
          </w:r>
          <w:r>
            <w:tab/>
          </w:r>
          <w:r>
            <w:fldChar w:fldCharType="begin"/>
          </w:r>
          <w:r>
            <w:instrText xml:space="preserve"> PAGEREF _Toc7812 \h </w:instrText>
          </w:r>
          <w:r>
            <w:fldChar w:fldCharType="separate"/>
          </w:r>
          <w:r>
            <w:t>14</w:t>
          </w:r>
          <w:r>
            <w:fldChar w:fldCharType="end"/>
          </w:r>
          <w:r>
            <w:rPr>
              <w:rFonts w:hint="default" w:ascii="Times New Roman" w:hAnsi="Times New Roman" w:eastAsia="黑体" w:cs="Times New Roman"/>
              <w:szCs w:val="28"/>
              <w:highlight w:val="none"/>
              <w:lang w:val="en-US" w:eastAsia="zh-CN"/>
            </w:rPr>
            <w:fldChar w:fldCharType="end"/>
          </w:r>
        </w:p>
        <w:p>
          <w:pPr>
            <w:ind w:firstLine="800"/>
            <w:jc w:val="center"/>
            <w:rPr>
              <w:rFonts w:hint="default" w:ascii="Times New Roman" w:hAnsi="Times New Roman" w:eastAsia="黑体" w:cs="Times New Roman"/>
              <w:kern w:val="2"/>
              <w:sz w:val="21"/>
              <w:szCs w:val="28"/>
              <w:highlight w:val="none"/>
              <w:lang w:val="en-US" w:eastAsia="zh-CN" w:bidi="ar-SA"/>
            </w:rPr>
            <w:sectPr>
              <w:pgSz w:w="11906" w:h="16838"/>
              <w:pgMar w:top="1440" w:right="1800" w:bottom="1440" w:left="1800" w:header="851" w:footer="992" w:gutter="0"/>
              <w:cols w:space="425" w:num="1"/>
              <w:docGrid w:type="lines" w:linePitch="312" w:charSpace="0"/>
            </w:sectPr>
          </w:pPr>
          <w:r>
            <w:rPr>
              <w:rFonts w:hint="default" w:ascii="Times New Roman" w:hAnsi="Times New Roman" w:eastAsia="黑体" w:cs="Times New Roman"/>
              <w:szCs w:val="28"/>
              <w:highlight w:val="none"/>
              <w:lang w:val="en-US" w:eastAsia="zh-CN"/>
            </w:rPr>
            <w:fldChar w:fldCharType="end"/>
          </w:r>
        </w:p>
      </w:sdtContent>
    </w:sdt>
    <w:p>
      <w:pPr>
        <w:ind w:firstLine="800"/>
        <w:jc w:val="center"/>
        <w:rPr>
          <w:rFonts w:hint="default" w:ascii="Times New Roman" w:hAnsi="Times New Roman" w:eastAsia="黑体" w:cs="Times New Roman"/>
          <w:kern w:val="2"/>
          <w:sz w:val="21"/>
          <w:szCs w:val="28"/>
          <w:highlight w:val="none"/>
          <w:lang w:val="en-US" w:eastAsia="zh-CN" w:bidi="ar-SA"/>
        </w:rPr>
        <w:sectPr>
          <w:pgSz w:w="11906" w:h="16838"/>
          <w:pgMar w:top="1440" w:right="1800" w:bottom="1440" w:left="1800" w:header="851" w:footer="992" w:gutter="0"/>
          <w:cols w:space="425" w:num="1"/>
          <w:docGrid w:type="lines" w:linePitch="312" w:charSpace="0"/>
        </w:sectPr>
      </w:pPr>
    </w:p>
    <w:p>
      <w:pPr>
        <w:rPr>
          <w:rFonts w:hint="default" w:ascii="Times New Roman" w:hAnsi="Times New Roman" w:cs="Times New Roman"/>
        </w:rPr>
      </w:pPr>
    </w:p>
    <w:p>
      <w:pPr>
        <w:pStyle w:val="18"/>
        <w:spacing w:line="360" w:lineRule="exact"/>
        <w:ind w:firstLine="420"/>
        <w:jc w:val="center"/>
        <w:outlineLvl w:val="0"/>
        <w:rPr>
          <w:rFonts w:hint="default" w:ascii="Times New Roman" w:hAnsi="Times New Roman" w:eastAsia="黑体" w:cs="Times New Roman"/>
          <w:b/>
          <w:bCs/>
          <w:sz w:val="32"/>
        </w:rPr>
      </w:pPr>
      <w:bookmarkStart w:id="0" w:name="_Toc30132"/>
      <w:r>
        <w:rPr>
          <w:rFonts w:hint="default" w:ascii="Times New Roman" w:hAnsi="Times New Roman" w:eastAsia="黑体" w:cs="Times New Roman"/>
          <w:b/>
          <w:bCs/>
          <w:sz w:val="32"/>
        </w:rPr>
        <w:t>前  言</w:t>
      </w:r>
      <w:bookmarkEnd w:id="0"/>
    </w:p>
    <w:p>
      <w:pPr>
        <w:pStyle w:val="18"/>
        <w:spacing w:line="360" w:lineRule="exact"/>
        <w:ind w:firstLine="420"/>
        <w:rPr>
          <w:rFonts w:hint="default" w:ascii="Times New Roman" w:hAnsi="Times New Roman" w:cs="Times New Roman"/>
        </w:rPr>
      </w:pPr>
      <w:r>
        <w:rPr>
          <w:rFonts w:hint="default" w:ascii="Times New Roman" w:hAnsi="Times New Roman" w:cs="Times New Roman"/>
        </w:rPr>
        <w:t>本文件参照GB/T1.1—2020《标准化工作导则 第1部分：标准化文件的结构和起草规则》的规定起草。</w:t>
      </w:r>
    </w:p>
    <w:p>
      <w:pPr>
        <w:pStyle w:val="18"/>
        <w:spacing w:line="360" w:lineRule="exact"/>
        <w:ind w:firstLine="420"/>
        <w:rPr>
          <w:rFonts w:hint="default" w:ascii="Times New Roman" w:hAnsi="Times New Roman" w:cs="Times New Roman"/>
        </w:rPr>
      </w:pPr>
      <w:r>
        <w:rPr>
          <w:rFonts w:hint="default" w:ascii="Times New Roman" w:hAnsi="Times New Roman" w:cs="Times New Roman"/>
        </w:rPr>
        <w:t>（修订项目需补充修订内容）</w:t>
      </w:r>
    </w:p>
    <w:p>
      <w:pPr>
        <w:pStyle w:val="18"/>
        <w:spacing w:line="360" w:lineRule="exact"/>
        <w:ind w:firstLine="420"/>
        <w:rPr>
          <w:rFonts w:hint="default" w:ascii="Times New Roman" w:hAnsi="Times New Roman" w:cs="Times New Roman"/>
        </w:rPr>
      </w:pPr>
      <w:r>
        <w:rPr>
          <w:rFonts w:hint="default" w:ascii="Times New Roman" w:hAnsi="Times New Roman" w:cs="Times New Roman"/>
        </w:rPr>
        <w:t>请注意本文件的某些内容可能涉及专利。本文件的发布机构不承担识别专利的责任。</w:t>
      </w:r>
    </w:p>
    <w:p>
      <w:pPr>
        <w:pStyle w:val="18"/>
        <w:spacing w:line="360" w:lineRule="exact"/>
        <w:ind w:firstLine="420"/>
        <w:rPr>
          <w:rFonts w:hint="default" w:ascii="Times New Roman" w:hAnsi="Times New Roman" w:cs="Times New Roman"/>
          <w:highlight w:val="none"/>
        </w:rPr>
      </w:pPr>
      <w:r>
        <w:rPr>
          <w:rFonts w:hint="default" w:ascii="Times New Roman" w:hAnsi="Times New Roman" w:cs="Times New Roman"/>
          <w:highlight w:val="none"/>
        </w:rPr>
        <w:t>本文件由</w:t>
      </w:r>
      <w:r>
        <w:rPr>
          <w:rFonts w:hint="default" w:ascii="Times New Roman" w:hAnsi="Times New Roman" w:cs="Times New Roman"/>
          <w:highlight w:val="none"/>
          <w:lang w:val="en-US" w:eastAsia="zh-CN"/>
        </w:rPr>
        <w:t>深圳市人民医院</w:t>
      </w:r>
      <w:r>
        <w:rPr>
          <w:rFonts w:hint="default" w:ascii="Times New Roman" w:hAnsi="Times New Roman" w:cs="Times New Roman"/>
          <w:highlight w:val="none"/>
        </w:rPr>
        <w:t>提出。</w:t>
      </w:r>
    </w:p>
    <w:p>
      <w:pPr>
        <w:pStyle w:val="18"/>
        <w:spacing w:line="360" w:lineRule="exact"/>
        <w:ind w:firstLine="420"/>
        <w:rPr>
          <w:rFonts w:hint="default" w:ascii="Times New Roman" w:hAnsi="Times New Roman" w:cs="Times New Roman"/>
          <w:highlight w:val="none"/>
        </w:rPr>
      </w:pPr>
      <w:r>
        <w:rPr>
          <w:rFonts w:hint="default" w:ascii="Times New Roman" w:hAnsi="Times New Roman" w:cs="Times New Roman"/>
          <w:highlight w:val="none"/>
        </w:rPr>
        <w:t>本文件由</w:t>
      </w:r>
      <w:r>
        <w:rPr>
          <w:rFonts w:hint="default" w:ascii="Times New Roman" w:hAnsi="Times New Roman" w:cs="Times New Roman"/>
          <w:highlight w:val="none"/>
          <w:lang w:val="en-US" w:eastAsia="zh-CN"/>
        </w:rPr>
        <w:t>北京慢性病防治与健康教育研究会</w:t>
      </w:r>
      <w:r>
        <w:rPr>
          <w:rFonts w:hint="default" w:ascii="Times New Roman" w:hAnsi="Times New Roman" w:cs="Times New Roman"/>
          <w:highlight w:val="none"/>
        </w:rPr>
        <w:t>归口。</w:t>
      </w:r>
    </w:p>
    <w:p>
      <w:pPr>
        <w:pStyle w:val="18"/>
        <w:spacing w:line="360" w:lineRule="exact"/>
        <w:ind w:firstLine="420"/>
        <w:rPr>
          <w:rFonts w:hint="default" w:ascii="Times New Roman" w:hAnsi="Times New Roman" w:cs="Times New Roman"/>
          <w:highlight w:val="none"/>
        </w:rPr>
      </w:pPr>
      <w:r>
        <w:rPr>
          <w:rFonts w:hint="default" w:ascii="Times New Roman" w:hAnsi="Times New Roman" w:cs="Times New Roman"/>
          <w:highlight w:val="none"/>
        </w:rPr>
        <w:t>本文件起草单位：</w:t>
      </w:r>
      <w:r>
        <w:rPr>
          <w:rFonts w:hint="default" w:ascii="Times New Roman" w:hAnsi="Times New Roman" w:cs="Times New Roman"/>
          <w:highlight w:val="none"/>
          <w:lang w:val="en-US" w:eastAsia="zh-CN"/>
        </w:rPr>
        <w:t>深圳市人民医院</w:t>
      </w:r>
      <w:r>
        <w:rPr>
          <w:rFonts w:hint="default" w:ascii="Times New Roman" w:hAnsi="Times New Roman" w:cs="Times New Roman"/>
          <w:highlight w:val="none"/>
        </w:rPr>
        <w:t>、</w:t>
      </w:r>
      <w:r>
        <w:rPr>
          <w:rFonts w:hint="default" w:ascii="Times New Roman" w:hAnsi="Times New Roman" w:cs="Times New Roman"/>
          <w:highlight w:val="none"/>
          <w:lang w:val="en-US" w:eastAsia="zh-CN"/>
        </w:rPr>
        <w:t>福州康为网络技术有限公司</w:t>
      </w:r>
      <w:r>
        <w:rPr>
          <w:rFonts w:hint="default" w:ascii="Times New Roman" w:hAnsi="Times New Roman" w:cs="Times New Roman"/>
          <w:highlight w:val="none"/>
        </w:rPr>
        <w:t>、</w:t>
      </w:r>
      <w:r>
        <w:rPr>
          <w:rFonts w:hint="default" w:ascii="Times New Roman" w:hAnsi="Times New Roman" w:cs="Times New Roman"/>
          <w:color w:val="auto"/>
          <w:sz w:val="21"/>
          <w:szCs w:val="21"/>
          <w:highlight w:val="none"/>
          <w:lang w:val="en-US" w:eastAsia="zh-CN"/>
        </w:rPr>
        <w:t>北京天坛医院、北京安贞医院、</w:t>
      </w:r>
      <w:r>
        <w:rPr>
          <w:rFonts w:hint="default" w:ascii="Times New Roman" w:hAnsi="Times New Roman" w:eastAsia="宋体" w:cs="Times New Roman"/>
          <w:i w:val="0"/>
          <w:iCs w:val="0"/>
          <w:color w:val="000000"/>
          <w:kern w:val="0"/>
          <w:sz w:val="21"/>
          <w:szCs w:val="21"/>
          <w:u w:val="none"/>
          <w:lang w:val="en-US" w:eastAsia="zh-CN" w:bidi="ar"/>
        </w:rPr>
        <w:t>北京世纪坛医院</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cs="Times New Roman"/>
          <w:color w:val="auto"/>
          <w:sz w:val="21"/>
          <w:szCs w:val="21"/>
          <w:highlight w:val="none"/>
          <w:lang w:val="en-US" w:eastAsia="zh-CN"/>
        </w:rPr>
        <w:t>北京地坛医院、</w:t>
      </w:r>
      <w:r>
        <w:rPr>
          <w:rFonts w:hint="default" w:ascii="Times New Roman" w:hAnsi="Times New Roman" w:cs="Times New Roman"/>
          <w:highlight w:val="none"/>
          <w:lang w:val="en-US" w:eastAsia="zh-CN"/>
        </w:rPr>
        <w:t>福建省中卫数字医疗健康科学研究院、</w:t>
      </w:r>
      <w:r>
        <w:rPr>
          <w:rFonts w:hint="default" w:ascii="Times New Roman" w:hAnsi="Times New Roman" w:eastAsia="宋体" w:cs="Times New Roman"/>
          <w:i w:val="0"/>
          <w:iCs w:val="0"/>
          <w:color w:val="000000"/>
          <w:kern w:val="0"/>
          <w:sz w:val="21"/>
          <w:szCs w:val="21"/>
          <w:u w:val="none"/>
          <w:lang w:val="en-US" w:eastAsia="zh-CN" w:bidi="ar"/>
        </w:rPr>
        <w:t>新疆自治区中医医院</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cs="Times New Roman"/>
          <w:sz w:val="21"/>
          <w:szCs w:val="21"/>
          <w:highlight w:val="none"/>
          <w:lang w:val="en-US" w:eastAsia="zh-CN"/>
        </w:rPr>
        <w:t>福建医科大学附属第一医院、</w:t>
      </w:r>
      <w:r>
        <w:rPr>
          <w:rFonts w:hint="default" w:ascii="Times New Roman" w:hAnsi="Times New Roman" w:eastAsia="宋体" w:cs="Times New Roman"/>
          <w:i w:val="0"/>
          <w:iCs w:val="0"/>
          <w:color w:val="000000"/>
          <w:kern w:val="0"/>
          <w:sz w:val="21"/>
          <w:szCs w:val="21"/>
          <w:u w:val="none"/>
          <w:lang w:val="en-US" w:eastAsia="zh-CN" w:bidi="ar"/>
        </w:rPr>
        <w:t>福建省儿童医院</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福建省妇幼保健院</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航空总医院</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上海交通大学医学院附属第九人民医院</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哈尔滨医科大学第一附属医院</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浙江省人民医院</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广州市第一人民医院</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江西省人民医院</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赣南医科大学第一附属医院</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赣州市人民医院</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杭州萧山第一人民医院</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兴国县人民医院</w:t>
      </w:r>
      <w:r>
        <w:rPr>
          <w:rFonts w:hint="default" w:ascii="Times New Roman" w:hAnsi="Times New Roman" w:cs="Times New Roman"/>
          <w:i w:val="0"/>
          <w:iCs w:val="0"/>
          <w:color w:val="000000"/>
          <w:kern w:val="0"/>
          <w:sz w:val="21"/>
          <w:szCs w:val="21"/>
          <w:u w:val="none"/>
          <w:lang w:val="en-US" w:eastAsia="zh-CN" w:bidi="ar"/>
        </w:rPr>
        <w:t>、福州蓝图生物科技有限公司</w:t>
      </w:r>
      <w:r>
        <w:rPr>
          <w:rFonts w:hint="default" w:ascii="Times New Roman" w:hAnsi="Times New Roman" w:cs="Times New Roman"/>
          <w:highlight w:val="none"/>
          <w:lang w:val="en-US" w:eastAsia="zh-CN"/>
        </w:rPr>
        <w:t>。</w:t>
      </w:r>
    </w:p>
    <w:p>
      <w:pPr>
        <w:pStyle w:val="18"/>
        <w:spacing w:line="360" w:lineRule="exact"/>
        <w:ind w:firstLine="42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本文件主要起草人：</w:t>
      </w:r>
      <w:r>
        <w:rPr>
          <w:rFonts w:hint="default" w:ascii="Times New Roman" w:hAnsi="Times New Roman" w:cs="Times New Roman"/>
          <w:sz w:val="21"/>
          <w:szCs w:val="21"/>
          <w:highlight w:val="none"/>
          <w:lang w:val="en-US" w:eastAsia="zh-CN"/>
        </w:rPr>
        <w:t>康林</w:t>
      </w:r>
      <w:r>
        <w:rPr>
          <w:rFonts w:hint="default" w:ascii="Times New Roman" w:hAnsi="Times New Roman" w:cs="Times New Roman"/>
          <w:sz w:val="21"/>
          <w:szCs w:val="21"/>
          <w:highlight w:val="none"/>
        </w:rPr>
        <w:t>、</w:t>
      </w:r>
      <w:r>
        <w:rPr>
          <w:rFonts w:hint="default" w:ascii="Times New Roman" w:hAnsi="Times New Roman" w:cs="Times New Roman"/>
          <w:sz w:val="21"/>
          <w:szCs w:val="21"/>
          <w:highlight w:val="none"/>
          <w:lang w:val="en-US" w:eastAsia="zh-CN"/>
        </w:rPr>
        <w:t>吴炎</w:t>
      </w:r>
      <w:r>
        <w:rPr>
          <w:rFonts w:hint="default" w:ascii="Times New Roman" w:hAnsi="Times New Roman" w:cs="Times New Roman"/>
          <w:sz w:val="21"/>
          <w:szCs w:val="21"/>
          <w:highlight w:val="none"/>
        </w:rPr>
        <w:t>、</w:t>
      </w:r>
      <w:r>
        <w:rPr>
          <w:rFonts w:hint="default" w:ascii="Times New Roman" w:hAnsi="Times New Roman" w:cs="Times New Roman"/>
          <w:sz w:val="21"/>
          <w:szCs w:val="21"/>
          <w:highlight w:val="none"/>
          <w:lang w:val="en-US" w:eastAsia="zh-CN"/>
        </w:rPr>
        <w:t>熊丽娇</w:t>
      </w:r>
      <w:r>
        <w:rPr>
          <w:rFonts w:hint="default" w:ascii="Times New Roman" w:hAnsi="Times New Roman" w:cs="Times New Roman"/>
          <w:sz w:val="21"/>
          <w:szCs w:val="21"/>
          <w:highlight w:val="none"/>
        </w:rPr>
        <w:t>、</w:t>
      </w:r>
      <w:r>
        <w:rPr>
          <w:rFonts w:hint="default" w:ascii="Times New Roman" w:hAnsi="Times New Roman" w:cs="Times New Roman"/>
          <w:sz w:val="21"/>
          <w:szCs w:val="21"/>
          <w:highlight w:val="none"/>
          <w:lang w:val="en-US" w:eastAsia="zh-CN"/>
        </w:rPr>
        <w:t>马丽、宋李斌。</w:t>
      </w:r>
    </w:p>
    <w:p>
      <w:pPr>
        <w:pStyle w:val="18"/>
        <w:spacing w:line="360" w:lineRule="exact"/>
        <w:ind w:firstLine="420"/>
        <w:rPr>
          <w:rFonts w:hint="default" w:ascii="Times New Roman" w:hAnsi="Times New Roman" w:eastAsia="宋体" w:cs="Times New Roman"/>
          <w:sz w:val="21"/>
          <w:szCs w:val="21"/>
          <w:highlight w:val="none"/>
          <w:lang w:eastAsia="zh-CN"/>
        </w:rPr>
      </w:pPr>
      <w:r>
        <w:rPr>
          <w:rFonts w:hint="default" w:ascii="Times New Roman" w:hAnsi="Times New Roman" w:cs="Times New Roman"/>
          <w:sz w:val="21"/>
          <w:szCs w:val="21"/>
          <w:highlight w:val="none"/>
        </w:rPr>
        <w:t>本文件其它起草人：</w:t>
      </w:r>
      <w:r>
        <w:rPr>
          <w:rFonts w:hint="default" w:ascii="Times New Roman" w:hAnsi="Times New Roman" w:cs="Times New Roman"/>
          <w:sz w:val="21"/>
          <w:szCs w:val="21"/>
          <w:highlight w:val="none"/>
          <w:lang w:val="en-US" w:eastAsia="zh-CN"/>
        </w:rPr>
        <w:t>徐平</w:t>
      </w:r>
      <w:r>
        <w:rPr>
          <w:rFonts w:hint="default" w:ascii="Times New Roman" w:hAnsi="Times New Roman" w:cs="Times New Roman"/>
          <w:sz w:val="21"/>
          <w:szCs w:val="21"/>
          <w:highlight w:val="none"/>
        </w:rPr>
        <w:t>、</w:t>
      </w:r>
      <w:r>
        <w:rPr>
          <w:rFonts w:hint="default" w:ascii="Times New Roman" w:hAnsi="Times New Roman" w:cs="Times New Roman"/>
          <w:color w:val="auto"/>
          <w:sz w:val="21"/>
          <w:szCs w:val="21"/>
          <w:highlight w:val="none"/>
          <w:lang w:val="en-US" w:eastAsia="zh-CN"/>
        </w:rPr>
        <w:t>钟历勇</w:t>
      </w:r>
      <w:r>
        <w:rPr>
          <w:rFonts w:hint="default" w:ascii="Times New Roman" w:hAnsi="Times New Roman" w:cs="Times New Roman"/>
          <w:sz w:val="21"/>
          <w:szCs w:val="21"/>
          <w:highlight w:val="none"/>
        </w:rPr>
        <w:t>、</w:t>
      </w:r>
      <w:r>
        <w:rPr>
          <w:rFonts w:hint="default" w:ascii="Times New Roman" w:hAnsi="Times New Roman" w:eastAsia="宋体" w:cs="Times New Roman"/>
          <w:i w:val="0"/>
          <w:iCs w:val="0"/>
          <w:color w:val="000000"/>
          <w:kern w:val="0"/>
          <w:sz w:val="21"/>
          <w:szCs w:val="21"/>
          <w:u w:val="none"/>
          <w:lang w:val="en-US" w:eastAsia="zh-CN" w:bidi="ar"/>
        </w:rPr>
        <w:t>徐剑</w:t>
      </w:r>
      <w:r>
        <w:rPr>
          <w:rFonts w:hint="default" w:ascii="Times New Roman" w:hAnsi="Times New Roman" w:cs="Times New Roman"/>
          <w:sz w:val="21"/>
          <w:szCs w:val="21"/>
          <w:highlight w:val="none"/>
        </w:rPr>
        <w:t>、</w:t>
      </w:r>
      <w:r>
        <w:rPr>
          <w:rFonts w:hint="default" w:ascii="Times New Roman" w:hAnsi="Times New Roman" w:cs="Times New Roman"/>
          <w:sz w:val="21"/>
          <w:szCs w:val="21"/>
          <w:highlight w:val="none"/>
          <w:lang w:val="en-US" w:eastAsia="zh-CN"/>
        </w:rPr>
        <w:t>林志刚、</w:t>
      </w:r>
      <w:r>
        <w:rPr>
          <w:rFonts w:hint="default" w:ascii="Times New Roman" w:hAnsi="Times New Roman" w:cs="Times New Roman"/>
          <w:sz w:val="21"/>
          <w:szCs w:val="21"/>
          <w:highlight w:val="none"/>
        </w:rPr>
        <w:t>林娟</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王立新</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方红娟</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val="en-US" w:eastAsia="zh-CN"/>
        </w:rPr>
        <w:t>叶晓燕、</w:t>
      </w:r>
      <w:r>
        <w:rPr>
          <w:rFonts w:hint="default" w:ascii="Times New Roman" w:hAnsi="Times New Roman" w:cs="Times New Roman"/>
          <w:sz w:val="21"/>
          <w:szCs w:val="21"/>
          <w:highlight w:val="none"/>
        </w:rPr>
        <w:t>韩兵</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叶潇</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陈发秀</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许荣</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谢芳</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阿曼古丽·苏力唐</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张宝玉</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曲光瑾</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张秀珍</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蒋竹奕</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黄倩芳</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陈子龙</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綦雯雯</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王延雪</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吴崇数</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val="en-US" w:eastAsia="zh-CN"/>
        </w:rPr>
        <w:t>苏友智、</w:t>
      </w:r>
      <w:r>
        <w:rPr>
          <w:rFonts w:hint="default" w:ascii="Times New Roman" w:hAnsi="Times New Roman" w:cs="Times New Roman"/>
          <w:sz w:val="21"/>
          <w:szCs w:val="21"/>
          <w:highlight w:val="none"/>
        </w:rPr>
        <w:t>宋小英</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val="en-US" w:eastAsia="zh-CN"/>
        </w:rPr>
        <w:t>梅运婷</w:t>
      </w:r>
      <w:r>
        <w:rPr>
          <w:rFonts w:hint="default" w:ascii="Times New Roman" w:hAnsi="Times New Roman" w:cs="Times New Roman"/>
          <w:sz w:val="21"/>
          <w:szCs w:val="21"/>
          <w:highlight w:val="none"/>
          <w:lang w:eastAsia="zh-CN"/>
        </w:rPr>
        <w:t>。</w:t>
      </w:r>
    </w:p>
    <w:p>
      <w:pPr>
        <w:rPr>
          <w:rFonts w:hint="default" w:ascii="Times New Roman" w:hAnsi="Times New Roman" w:eastAsia="宋体" w:cs="Times New Roman"/>
        </w:rPr>
      </w:pPr>
      <w:r>
        <w:rPr>
          <w:rFonts w:hint="default" w:ascii="Times New Roman" w:hAnsi="Times New Roman" w:eastAsia="宋体" w:cs="Times New Roman"/>
        </w:rPr>
        <w:br w:type="page"/>
      </w:r>
    </w:p>
    <w:p>
      <w:pPr>
        <w:pStyle w:val="18"/>
        <w:keepNext w:val="0"/>
        <w:keepLines w:val="0"/>
        <w:pageBreakBefore w:val="0"/>
        <w:widowControl/>
        <w:kinsoku/>
        <w:wordWrap/>
        <w:overflowPunct/>
        <w:topLinePunct w:val="0"/>
        <w:autoSpaceDE w:val="0"/>
        <w:autoSpaceDN w:val="0"/>
        <w:bidi w:val="0"/>
        <w:adjustRightInd/>
        <w:snapToGrid/>
        <w:spacing w:before="313" w:beforeLines="100" w:after="313" w:afterLines="100" w:line="360" w:lineRule="exact"/>
        <w:ind w:firstLine="420"/>
        <w:jc w:val="center"/>
        <w:textAlignment w:val="auto"/>
        <w:outlineLvl w:val="0"/>
        <w:rPr>
          <w:rFonts w:hint="default" w:ascii="Times New Roman" w:hAnsi="Times New Roman" w:eastAsia="黑体" w:cs="Times New Roman"/>
          <w:b/>
          <w:bCs/>
          <w:sz w:val="32"/>
        </w:rPr>
      </w:pPr>
      <w:bookmarkStart w:id="1" w:name="_Toc2552"/>
      <w:r>
        <w:rPr>
          <w:rFonts w:hint="default" w:ascii="Times New Roman" w:hAnsi="Times New Roman" w:eastAsia="黑体" w:cs="Times New Roman"/>
          <w:b/>
          <w:bCs/>
          <w:sz w:val="32"/>
        </w:rPr>
        <w:t>引</w:t>
      </w:r>
      <w:r>
        <w:rPr>
          <w:rFonts w:hint="eastAsia" w:ascii="Times New Roman" w:hAnsi="Times New Roman" w:eastAsia="黑体" w:cs="Times New Roman"/>
          <w:b/>
          <w:bCs/>
          <w:sz w:val="32"/>
          <w:lang w:val="en-US" w:eastAsia="zh-CN"/>
        </w:rPr>
        <w:t xml:space="preserve"> </w:t>
      </w:r>
      <w:r>
        <w:rPr>
          <w:rFonts w:hint="default" w:ascii="Times New Roman" w:hAnsi="Times New Roman" w:eastAsia="黑体" w:cs="Times New Roman"/>
          <w:b/>
          <w:bCs/>
          <w:sz w:val="32"/>
        </w:rPr>
        <w:t xml:space="preserve"> 言</w:t>
      </w:r>
      <w:bookmarkEnd w:id="1"/>
    </w:p>
    <w:p>
      <w:pPr>
        <w:pStyle w:val="18"/>
        <w:bidi w:val="0"/>
        <w:rPr>
          <w:rFonts w:hint="default" w:ascii="Times New Roman" w:hAnsi="Times New Roman" w:cs="Times New Roman"/>
        </w:rPr>
      </w:pPr>
      <w:r>
        <w:rPr>
          <w:rFonts w:hint="default" w:ascii="Times New Roman" w:hAnsi="Times New Roman" w:cs="Times New Roman"/>
        </w:rPr>
        <w:t>糖尿病数字健康干预系统正在由单一随访工具向多源数据接入、持续监测、风险分层、辅助决策和闭环干预平台演进。连续葡萄糖监测、便携式血糖仪、可穿戴设备、电子病历、检验检查和患者报告结局等数据的融合，为个体化健康干预提供了技术基础，同时也带来数据质量、互操作、算法透明性、医疗安全、个人信息保护和运行可靠性等方面的风险。</w:t>
      </w:r>
    </w:p>
    <w:p>
      <w:pPr>
        <w:pStyle w:val="18"/>
        <w:bidi w:val="0"/>
        <w:rPr>
          <w:rFonts w:hint="default" w:ascii="Times New Roman" w:hAnsi="Times New Roman" w:cs="Times New Roman"/>
        </w:rPr>
      </w:pPr>
      <w:r>
        <w:rPr>
          <w:rFonts w:hint="default" w:ascii="Times New Roman" w:hAnsi="Times New Roman" w:cs="Times New Roman"/>
        </w:rPr>
        <w:t>本文件面向糖尿病数字健康干预系统的研发、集成、评测和运维，规定系统架构、数据治理、智能化辅助决策、预警、网络安全、运行支撑及评价指标要求。本文件不规定具体诊疗方案，不替代临床指南、医疗器械注册审查要求或医疗机构依法依规开展诊疗活动的管理要求。</w:t>
      </w:r>
    </w:p>
    <w:p>
      <w:pPr>
        <w:rPr>
          <w:rFonts w:hint="default" w:ascii="Times New Roman" w:hAnsi="Times New Roman" w:eastAsia="宋体" w:cs="Times New Roman"/>
        </w:rPr>
      </w:pPr>
      <w:r>
        <w:rPr>
          <w:rFonts w:hint="default" w:ascii="Times New Roman" w:hAnsi="Times New Roman" w:eastAsia="宋体" w:cs="Times New Roman"/>
        </w:rPr>
        <w:br w:type="page"/>
      </w:r>
    </w:p>
    <w:p>
      <w:pPr>
        <w:pStyle w:val="20"/>
        <w:rPr>
          <w:rFonts w:hint="default" w:ascii="Times New Roman" w:hAnsi="Times New Roman" w:eastAsia="黑体" w:cs="Times New Roman"/>
        </w:rPr>
      </w:pPr>
      <w:bookmarkStart w:id="2" w:name="_Toc6617"/>
      <w:r>
        <w:rPr>
          <w:rFonts w:hint="default" w:ascii="Times New Roman" w:hAnsi="Times New Roman" w:eastAsia="黑体" w:cs="Times New Roman"/>
        </w:rPr>
        <w:t>糖尿病数字健康干预系统技术架构与运行支撑要求</w:t>
      </w:r>
      <w:bookmarkEnd w:id="2"/>
    </w:p>
    <w:p>
      <w:pPr>
        <w:pStyle w:val="21"/>
        <w:bidi w:val="0"/>
        <w:rPr>
          <w:rFonts w:hint="default" w:ascii="Times New Roman" w:hAnsi="Times New Roman" w:cs="Times New Roman"/>
        </w:rPr>
      </w:pPr>
      <w:bookmarkStart w:id="3" w:name="_Toc18076"/>
      <w:r>
        <w:rPr>
          <w:rFonts w:hint="default" w:ascii="Times New Roman" w:hAnsi="Times New Roman" w:cs="Times New Roman"/>
        </w:rPr>
        <w:t>范围</w:t>
      </w:r>
      <w:bookmarkEnd w:id="3"/>
    </w:p>
    <w:p>
      <w:pPr>
        <w:pStyle w:val="18"/>
        <w:rPr>
          <w:rFonts w:hint="default" w:ascii="Times New Roman" w:hAnsi="Times New Roman" w:cs="Times New Roman"/>
        </w:rPr>
      </w:pPr>
      <w:r>
        <w:rPr>
          <w:rFonts w:hint="default" w:ascii="Times New Roman" w:hAnsi="Times New Roman" w:eastAsia="宋体" w:cs="Times New Roman"/>
        </w:rPr>
        <w:t>本文件规定了糖尿病数字健康干预系统的总体技术架构、数据接入与治理、专病数据资源、智能化辅助决策、风险预警、网络安全与个人信息保护、运行支撑和评价指标要求。</w:t>
      </w:r>
    </w:p>
    <w:p>
      <w:pPr>
        <w:pStyle w:val="18"/>
        <w:rPr>
          <w:rFonts w:hint="default" w:ascii="Times New Roman" w:hAnsi="Times New Roman" w:cs="Times New Roman"/>
        </w:rPr>
      </w:pPr>
      <w:r>
        <w:rPr>
          <w:rFonts w:hint="default" w:ascii="Times New Roman" w:hAnsi="Times New Roman" w:eastAsia="宋体" w:cs="Times New Roman"/>
        </w:rPr>
        <w:t>本文件适用于糖尿病数字健康干预平台、慢病管理软件、互联网诊疗配套系统、患者端应用、医护工作站及相关系统集成项目的设计、研发、测试、部署、运行维护和技术评价。</w:t>
      </w:r>
    </w:p>
    <w:p>
      <w:pPr>
        <w:pStyle w:val="18"/>
        <w:rPr>
          <w:rFonts w:hint="default" w:ascii="Times New Roman" w:hAnsi="Times New Roman" w:cs="Times New Roman"/>
        </w:rPr>
      </w:pPr>
      <w:r>
        <w:rPr>
          <w:rFonts w:hint="default" w:ascii="Times New Roman" w:hAnsi="Times New Roman" w:eastAsia="宋体" w:cs="Times New Roman"/>
        </w:rPr>
        <w:t>本文件不适用于作为独立诊断、治疗或处方依据的医疗行为规范；涉及医疗器械软件、人工智能医疗器械或网络安全注册审查的，应同时符合国家药品监督管理部门相关要求。</w:t>
      </w:r>
    </w:p>
    <w:p>
      <w:pPr>
        <w:pStyle w:val="21"/>
        <w:bidi w:val="0"/>
        <w:rPr>
          <w:rFonts w:hint="default" w:ascii="Times New Roman" w:hAnsi="Times New Roman" w:cs="Times New Roman"/>
        </w:rPr>
      </w:pPr>
      <w:bookmarkStart w:id="4" w:name="_Toc9168"/>
      <w:r>
        <w:rPr>
          <w:rFonts w:hint="default" w:ascii="Times New Roman" w:hAnsi="Times New Roman" w:cs="Times New Roman"/>
        </w:rPr>
        <w:t>规范性引用文件</w:t>
      </w:r>
      <w:bookmarkEnd w:id="4"/>
    </w:p>
    <w:p>
      <w:pPr>
        <w:pStyle w:val="18"/>
        <w:rPr>
          <w:rFonts w:hint="default" w:ascii="Times New Roman" w:hAnsi="Times New Roman" w:cs="Times New Roman"/>
        </w:rPr>
      </w:pPr>
      <w:r>
        <w:rPr>
          <w:rFonts w:hint="default" w:ascii="Times New Roman" w:hAnsi="Times New Roman" w:eastAsia="宋体" w:cs="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p>
      <w:pPr>
        <w:pStyle w:val="18"/>
        <w:rPr>
          <w:rFonts w:hint="default" w:ascii="Times New Roman" w:hAnsi="Times New Roman" w:cs="Times New Roman"/>
        </w:rPr>
      </w:pPr>
      <w:r>
        <w:rPr>
          <w:rFonts w:hint="default" w:ascii="Times New Roman" w:hAnsi="Times New Roman" w:eastAsia="宋体" w:cs="Times New Roman"/>
        </w:rPr>
        <w:t>GB/T 22239—2019 信息安全技术 网络安全等级保护基本要求</w:t>
      </w:r>
    </w:p>
    <w:p>
      <w:pPr>
        <w:pStyle w:val="18"/>
        <w:rPr>
          <w:rFonts w:hint="default" w:ascii="Times New Roman" w:hAnsi="Times New Roman" w:cs="Times New Roman"/>
        </w:rPr>
      </w:pPr>
      <w:r>
        <w:rPr>
          <w:rFonts w:hint="default" w:ascii="Times New Roman" w:hAnsi="Times New Roman" w:eastAsia="宋体" w:cs="Times New Roman"/>
        </w:rPr>
        <w:t xml:space="preserve">GB/T 25000.51—2016 软件工程 软件产品质量要求和评价（SQuaRE） </w:t>
      </w:r>
      <w:r>
        <w:rPr>
          <w:rFonts w:hint="default" w:ascii="Times New Roman" w:hAnsi="Times New Roman" w:cs="Times New Roman"/>
          <w:lang w:val="en-US" w:eastAsia="zh-CN"/>
        </w:rPr>
        <w:t>就绪可用</w:t>
      </w:r>
      <w:r>
        <w:rPr>
          <w:rFonts w:hint="default" w:ascii="Times New Roman" w:hAnsi="Times New Roman" w:eastAsia="宋体" w:cs="Times New Roman"/>
        </w:rPr>
        <w:t>软件产品的质量要求和测试细则</w:t>
      </w:r>
    </w:p>
    <w:p>
      <w:pPr>
        <w:pStyle w:val="18"/>
        <w:rPr>
          <w:rFonts w:hint="default" w:ascii="Times New Roman" w:hAnsi="Times New Roman" w:cs="Times New Roman"/>
        </w:rPr>
      </w:pPr>
      <w:r>
        <w:rPr>
          <w:rFonts w:hint="default" w:ascii="Times New Roman" w:hAnsi="Times New Roman" w:eastAsia="宋体" w:cs="Times New Roman"/>
        </w:rPr>
        <w:t>GB/T 35273—2020 信息安全技术 个人信息安全规范</w:t>
      </w:r>
    </w:p>
    <w:p>
      <w:pPr>
        <w:pStyle w:val="18"/>
        <w:rPr>
          <w:rFonts w:hint="default" w:ascii="Times New Roman" w:hAnsi="Times New Roman" w:cs="Times New Roman"/>
        </w:rPr>
      </w:pPr>
      <w:r>
        <w:rPr>
          <w:rFonts w:hint="default" w:ascii="Times New Roman" w:hAnsi="Times New Roman" w:eastAsia="宋体" w:cs="Times New Roman"/>
        </w:rPr>
        <w:t>GB/T 37722—2019 信息技术 大数据 存储与处理系统技术要求</w:t>
      </w:r>
    </w:p>
    <w:p>
      <w:pPr>
        <w:pStyle w:val="18"/>
        <w:rPr>
          <w:rFonts w:hint="default" w:ascii="Times New Roman" w:hAnsi="Times New Roman" w:cs="Times New Roman"/>
        </w:rPr>
      </w:pPr>
      <w:r>
        <w:rPr>
          <w:rFonts w:hint="default" w:ascii="Times New Roman" w:hAnsi="Times New Roman" w:eastAsia="宋体" w:cs="Times New Roman"/>
        </w:rPr>
        <w:t>GB/T 39725—2020 信息安全技术 健康医疗数据安全指南</w:t>
      </w:r>
    </w:p>
    <w:p>
      <w:pPr>
        <w:pStyle w:val="18"/>
        <w:rPr>
          <w:rFonts w:hint="default" w:ascii="Times New Roman" w:hAnsi="Times New Roman" w:cs="Times New Roman"/>
        </w:rPr>
      </w:pPr>
      <w:r>
        <w:rPr>
          <w:rFonts w:hint="default" w:ascii="Times New Roman" w:hAnsi="Times New Roman" w:eastAsia="宋体" w:cs="Times New Roman"/>
        </w:rPr>
        <w:t>GB/T 42018—2022 信息安全技术 个人信息处理安全要求</w:t>
      </w:r>
    </w:p>
    <w:p>
      <w:pPr>
        <w:pStyle w:val="18"/>
        <w:rPr>
          <w:rFonts w:hint="default" w:ascii="Times New Roman" w:hAnsi="Times New Roman" w:cs="Times New Roman"/>
        </w:rPr>
      </w:pPr>
      <w:r>
        <w:rPr>
          <w:rFonts w:hint="default" w:ascii="Times New Roman" w:hAnsi="Times New Roman" w:eastAsia="宋体" w:cs="Times New Roman"/>
        </w:rPr>
        <w:t>GB/T 43697—2024 数据安全技术 数据分类分级规则</w:t>
      </w:r>
    </w:p>
    <w:p>
      <w:pPr>
        <w:pStyle w:val="18"/>
        <w:rPr>
          <w:rFonts w:hint="default" w:ascii="Times New Roman" w:hAnsi="Times New Roman" w:cs="Times New Roman"/>
        </w:rPr>
      </w:pPr>
      <w:r>
        <w:rPr>
          <w:rFonts w:hint="default" w:ascii="Times New Roman" w:hAnsi="Times New Roman" w:eastAsia="宋体" w:cs="Times New Roman"/>
        </w:rPr>
        <w:t>WS/T 363（所有部分） 卫生信息数据元目录</w:t>
      </w:r>
    </w:p>
    <w:p>
      <w:pPr>
        <w:pStyle w:val="18"/>
        <w:rPr>
          <w:rFonts w:hint="default" w:ascii="Times New Roman" w:hAnsi="Times New Roman" w:cs="Times New Roman"/>
        </w:rPr>
      </w:pPr>
      <w:r>
        <w:rPr>
          <w:rFonts w:hint="default" w:ascii="Times New Roman" w:hAnsi="Times New Roman" w:eastAsia="宋体" w:cs="Times New Roman"/>
        </w:rPr>
        <w:t>WS/T 364（所有部分） 卫生信息数据元值域代码</w:t>
      </w:r>
    </w:p>
    <w:p>
      <w:pPr>
        <w:pStyle w:val="18"/>
        <w:rPr>
          <w:rFonts w:hint="default" w:ascii="Times New Roman" w:hAnsi="Times New Roman" w:cs="Times New Roman"/>
        </w:rPr>
      </w:pPr>
      <w:r>
        <w:rPr>
          <w:rFonts w:hint="default" w:ascii="Times New Roman" w:hAnsi="Times New Roman" w:eastAsia="宋体" w:cs="Times New Roman"/>
        </w:rPr>
        <w:t>WS/T 447—2014 便携式血糖检测仪临床操作和质量管理规范</w:t>
      </w:r>
    </w:p>
    <w:p>
      <w:pPr>
        <w:pStyle w:val="21"/>
        <w:bidi w:val="0"/>
        <w:rPr>
          <w:rFonts w:hint="default" w:ascii="Times New Roman" w:hAnsi="Times New Roman" w:cs="Times New Roman"/>
        </w:rPr>
      </w:pPr>
      <w:bookmarkStart w:id="5" w:name="_Toc14253"/>
      <w:r>
        <w:rPr>
          <w:rFonts w:hint="default" w:ascii="Times New Roman" w:hAnsi="Times New Roman" w:cs="Times New Roman"/>
        </w:rPr>
        <w:t>术语和定义</w:t>
      </w:r>
      <w:bookmarkEnd w:id="5"/>
    </w:p>
    <w:p>
      <w:pPr>
        <w:pStyle w:val="18"/>
        <w:rPr>
          <w:rFonts w:hint="default" w:ascii="Times New Roman" w:hAnsi="Times New Roman" w:cs="Times New Roman"/>
        </w:rPr>
      </w:pPr>
      <w:r>
        <w:rPr>
          <w:rFonts w:hint="default" w:ascii="Times New Roman" w:hAnsi="Times New Roman" w:eastAsia="宋体" w:cs="Times New Roman"/>
        </w:rPr>
        <w:t>下列术语和定义适用于本文件。</w:t>
      </w:r>
    </w:p>
    <w:p>
      <w:pPr>
        <w:pStyle w:val="17"/>
        <w:numPr>
          <w:ilvl w:val="2"/>
          <w:numId w:val="0"/>
        </w:numPr>
        <w:ind w:leftChars="0"/>
        <w:outlineLvl w:val="9"/>
        <w:rPr>
          <w:rFonts w:hint="default" w:ascii="Times New Roman" w:hAnsi="Times New Roman" w:cs="Times New Roman"/>
        </w:rPr>
      </w:pPr>
      <w:r>
        <w:rPr>
          <w:rFonts w:hint="default" w:ascii="Times New Roman" w:hAnsi="Times New Roman" w:eastAsia="宋体" w:cs="Times New Roman"/>
        </w:rPr>
        <w:t>3.1 糖尿病数字健康干预系统 digital health intervention system for diabetes</w:t>
      </w:r>
    </w:p>
    <w:p>
      <w:pPr>
        <w:pStyle w:val="18"/>
        <w:rPr>
          <w:rFonts w:hint="default" w:ascii="Times New Roman" w:hAnsi="Times New Roman" w:cs="Times New Roman"/>
        </w:rPr>
      </w:pPr>
      <w:r>
        <w:rPr>
          <w:rFonts w:hint="default" w:ascii="Times New Roman" w:hAnsi="Times New Roman" w:eastAsia="宋体" w:cs="Times New Roman"/>
        </w:rPr>
        <w:t>以糖尿病健康管理和风险干预为目标，基于软件、数据、算法、设备接口和运行支撑能力构建的信息系统。系统可支持多源健康数据接入、数据治理、风险分层、辅助决策、干预任务管理、预警通知和效果评价。</w:t>
      </w:r>
    </w:p>
    <w:p>
      <w:pPr>
        <w:pStyle w:val="17"/>
        <w:numPr>
          <w:ilvl w:val="2"/>
          <w:numId w:val="0"/>
        </w:numPr>
        <w:ind w:leftChars="0"/>
        <w:outlineLvl w:val="9"/>
        <w:rPr>
          <w:rFonts w:hint="default" w:ascii="Times New Roman" w:hAnsi="Times New Roman" w:eastAsia="宋体" w:cs="Times New Roman"/>
        </w:rPr>
      </w:pPr>
      <w:r>
        <w:rPr>
          <w:rFonts w:hint="default" w:ascii="Times New Roman" w:hAnsi="Times New Roman" w:eastAsia="宋体" w:cs="Times New Roman"/>
        </w:rPr>
        <w:t>3.2 辅助决策 clinical decision support system；CDSS</w:t>
      </w:r>
    </w:p>
    <w:p>
      <w:pPr>
        <w:pStyle w:val="18"/>
        <w:rPr>
          <w:rFonts w:hint="default" w:ascii="Times New Roman" w:hAnsi="Times New Roman" w:cs="Times New Roman"/>
        </w:rPr>
      </w:pPr>
      <w:r>
        <w:rPr>
          <w:rFonts w:hint="default" w:ascii="Times New Roman" w:hAnsi="Times New Roman" w:eastAsia="宋体" w:cs="Times New Roman"/>
        </w:rPr>
        <w:t>基于临床指南、专家共识、规则库、知识库或经验证算法，为医务人员或健康管理人员提供提示、提醒、风险评估或建议的信息系统能力。CDSS输出不得替代执业医师的临床诊断、处方和治疗决策。</w:t>
      </w:r>
    </w:p>
    <w:p>
      <w:pPr>
        <w:pStyle w:val="17"/>
        <w:numPr>
          <w:ilvl w:val="2"/>
          <w:numId w:val="0"/>
        </w:numPr>
        <w:ind w:leftChars="0"/>
        <w:outlineLvl w:val="9"/>
        <w:rPr>
          <w:rFonts w:hint="default" w:ascii="Times New Roman" w:hAnsi="Times New Roman" w:eastAsia="宋体" w:cs="Times New Roman"/>
        </w:rPr>
      </w:pPr>
      <w:r>
        <w:rPr>
          <w:rFonts w:hint="default" w:ascii="Times New Roman" w:hAnsi="Times New Roman" w:eastAsia="宋体" w:cs="Times New Roman"/>
        </w:rPr>
        <w:t>3.3 目标范围内时间 time in range；TIR</w:t>
      </w:r>
    </w:p>
    <w:p>
      <w:pPr>
        <w:pStyle w:val="18"/>
        <w:rPr>
          <w:rFonts w:hint="default" w:ascii="Times New Roman" w:hAnsi="Times New Roman" w:cs="Times New Roman"/>
        </w:rPr>
      </w:pPr>
      <w:r>
        <w:rPr>
          <w:rFonts w:hint="default" w:ascii="Times New Roman" w:hAnsi="Times New Roman" w:eastAsia="宋体" w:cs="Times New Roman"/>
        </w:rPr>
        <w:t>在设定统计周期内，葡萄糖监测读数处于目标范围内的时间占比。成人糖尿病患者常用目标范围为3.9 mmol/L～10.0 mmol/L；特殊人群的目标范围应依据临床指南、医嘱或机构规则设定。</w:t>
      </w:r>
    </w:p>
    <w:p>
      <w:pPr>
        <w:pStyle w:val="17"/>
        <w:numPr>
          <w:ilvl w:val="2"/>
          <w:numId w:val="0"/>
        </w:numPr>
        <w:ind w:leftChars="0"/>
        <w:outlineLvl w:val="9"/>
        <w:rPr>
          <w:rFonts w:hint="default" w:ascii="Times New Roman" w:hAnsi="Times New Roman" w:eastAsia="宋体" w:cs="Times New Roman"/>
        </w:rPr>
      </w:pPr>
      <w:r>
        <w:rPr>
          <w:rFonts w:hint="default" w:ascii="Times New Roman" w:hAnsi="Times New Roman" w:eastAsia="宋体" w:cs="Times New Roman"/>
        </w:rPr>
        <w:t>3.</w:t>
      </w:r>
      <w:r>
        <w:rPr>
          <w:rFonts w:hint="default" w:ascii="Times New Roman" w:hAnsi="Times New Roman" w:eastAsia="宋体" w:cs="Times New Roman"/>
          <w:lang w:val="en-US" w:eastAsia="zh-CN"/>
        </w:rPr>
        <w:t>4</w:t>
      </w:r>
      <w:r>
        <w:rPr>
          <w:rFonts w:hint="default" w:ascii="Times New Roman" w:hAnsi="Times New Roman" w:eastAsia="宋体" w:cs="Times New Roman"/>
        </w:rPr>
        <w:t xml:space="preserve"> 人工确认 human confirmation</w:t>
      </w:r>
    </w:p>
    <w:p>
      <w:pPr>
        <w:pStyle w:val="18"/>
        <w:rPr>
          <w:rFonts w:hint="default" w:ascii="Times New Roman" w:hAnsi="Times New Roman" w:cs="Times New Roman"/>
        </w:rPr>
      </w:pPr>
      <w:r>
        <w:rPr>
          <w:rFonts w:hint="default" w:ascii="Times New Roman" w:hAnsi="Times New Roman" w:eastAsia="宋体" w:cs="Times New Roman"/>
        </w:rPr>
        <w:t>对涉及诊疗建议、药物调整、高风险预警或其他可能影响患者安全的系统输出，由具备相应资质或授权的人员进行复核、确认、记录和追溯的过程。</w:t>
      </w:r>
    </w:p>
    <w:p>
      <w:pPr>
        <w:pStyle w:val="21"/>
        <w:bidi w:val="0"/>
        <w:rPr>
          <w:rFonts w:hint="default" w:ascii="Times New Roman" w:hAnsi="Times New Roman" w:cs="Times New Roman"/>
        </w:rPr>
      </w:pPr>
      <w:bookmarkStart w:id="6" w:name="_Toc14296"/>
      <w:r>
        <w:rPr>
          <w:rFonts w:hint="default" w:ascii="Times New Roman" w:hAnsi="Times New Roman" w:cs="Times New Roman"/>
        </w:rPr>
        <w:t>基本要求</w:t>
      </w:r>
      <w:bookmarkEnd w:id="6"/>
    </w:p>
    <w:p>
      <w:pPr>
        <w:pStyle w:val="17"/>
        <w:bidi w:val="0"/>
        <w:rPr>
          <w:rFonts w:hint="default" w:ascii="Times New Roman" w:hAnsi="Times New Roman" w:cs="Times New Roman"/>
        </w:rPr>
      </w:pPr>
      <w:r>
        <w:rPr>
          <w:rFonts w:hint="default" w:ascii="Times New Roman" w:hAnsi="Times New Roman" w:cs="Times New Roman"/>
        </w:rPr>
        <w:t>医学证据驱动</w:t>
      </w:r>
    </w:p>
    <w:p>
      <w:pPr>
        <w:pStyle w:val="18"/>
        <w:rPr>
          <w:rFonts w:hint="eastAsia" w:ascii="Times New Roman" w:hAnsi="Times New Roman" w:eastAsia="宋体" w:cs="Times New Roman"/>
          <w:lang w:val="en-US" w:eastAsia="zh-CN"/>
        </w:rPr>
      </w:pPr>
      <w:r>
        <w:rPr>
          <w:rFonts w:hint="default" w:ascii="Times New Roman" w:hAnsi="Times New Roman" w:eastAsia="宋体" w:cs="Times New Roman"/>
        </w:rPr>
        <w:t>系统的规则库、知识库、风险分层模型和辅助决策逻辑应基于现行有效的临床指南、专家共识、药品说明书、医疗机构制度或经验证研究证据建立。系统应记录推荐依据、适用范围、版本、发布日期和更新记录，并支持证据链追溯。</w:t>
      </w:r>
    </w:p>
    <w:p>
      <w:pPr>
        <w:pStyle w:val="17"/>
        <w:bidi w:val="0"/>
        <w:rPr>
          <w:rFonts w:hint="default" w:ascii="Times New Roman" w:hAnsi="Times New Roman" w:cs="Times New Roman"/>
        </w:rPr>
      </w:pPr>
      <w:r>
        <w:rPr>
          <w:rFonts w:hint="default" w:ascii="Times New Roman" w:hAnsi="Times New Roman" w:cs="Times New Roman"/>
        </w:rPr>
        <w:t>医疗安全边界</w:t>
      </w:r>
    </w:p>
    <w:p>
      <w:pPr>
        <w:pStyle w:val="18"/>
        <w:rPr>
          <w:rFonts w:hint="default" w:ascii="Times New Roman" w:hAnsi="Times New Roman" w:cs="Times New Roman"/>
        </w:rPr>
      </w:pPr>
      <w:r>
        <w:rPr>
          <w:rFonts w:hint="default" w:ascii="Times New Roman" w:hAnsi="Times New Roman" w:eastAsia="宋体" w:cs="Times New Roman"/>
        </w:rPr>
        <w:t>系统输出应以提示、建议、任务或风险提醒形式呈现，不应声称替代医师诊断、处方或治疗决策。涉及用药调整、胰岛素剂量、急危重症处置或其他高风险事项时，应设置人工确认、身份鉴别、权限控制和确认记录。</w:t>
      </w:r>
    </w:p>
    <w:p>
      <w:pPr>
        <w:pStyle w:val="17"/>
        <w:bidi w:val="0"/>
        <w:rPr>
          <w:rFonts w:hint="default" w:ascii="Times New Roman" w:hAnsi="Times New Roman" w:cs="Times New Roman"/>
        </w:rPr>
      </w:pPr>
      <w:r>
        <w:rPr>
          <w:rFonts w:hint="default" w:ascii="Times New Roman" w:hAnsi="Times New Roman" w:cs="Times New Roman"/>
        </w:rPr>
        <w:t>合规与最小必要</w:t>
      </w:r>
    </w:p>
    <w:p>
      <w:pPr>
        <w:pStyle w:val="18"/>
        <w:rPr>
          <w:rFonts w:hint="default" w:ascii="Times New Roman" w:hAnsi="Times New Roman" w:cs="Times New Roman"/>
        </w:rPr>
      </w:pPr>
      <w:r>
        <w:rPr>
          <w:rFonts w:hint="default" w:ascii="Times New Roman" w:hAnsi="Times New Roman" w:eastAsia="宋体" w:cs="Times New Roman"/>
        </w:rPr>
        <w:t>系统处理个人信息和健康医疗数据时，应遵循合法、正当、必要、诚信、公开透明、目的明确、最小必要和安全保障原则。系统应支持个人信息告知、授权、撤回、查询、更正、删除、导出、投诉处理和审计留痕等能力。</w:t>
      </w:r>
    </w:p>
    <w:p>
      <w:pPr>
        <w:pStyle w:val="17"/>
        <w:bidi w:val="0"/>
        <w:rPr>
          <w:rFonts w:hint="default" w:ascii="Times New Roman" w:hAnsi="Times New Roman" w:cs="Times New Roman"/>
        </w:rPr>
      </w:pPr>
      <w:r>
        <w:rPr>
          <w:rFonts w:hint="default" w:ascii="Times New Roman" w:hAnsi="Times New Roman" w:cs="Times New Roman"/>
        </w:rPr>
        <w:t>可验证与可维护</w:t>
      </w:r>
    </w:p>
    <w:p>
      <w:pPr>
        <w:pStyle w:val="18"/>
        <w:rPr>
          <w:rFonts w:hint="default" w:ascii="Times New Roman" w:hAnsi="Times New Roman" w:cs="Times New Roman"/>
        </w:rPr>
      </w:pPr>
      <w:r>
        <w:rPr>
          <w:rFonts w:hint="default" w:ascii="Times New Roman" w:hAnsi="Times New Roman" w:eastAsia="宋体" w:cs="Times New Roman"/>
        </w:rPr>
        <w:t>本文件中的技术要求应能够通过文档审查、配置核验、接口测试、性能测试、安全测试、日志审计或运行数据统计进行验证。系统应具备版本管理、变更控制、监控告警和故障恢复能力。</w:t>
      </w:r>
    </w:p>
    <w:p>
      <w:pPr>
        <w:pStyle w:val="21"/>
        <w:bidi w:val="0"/>
        <w:rPr>
          <w:rFonts w:hint="default" w:ascii="Times New Roman" w:hAnsi="Times New Roman" w:cs="Times New Roman"/>
        </w:rPr>
      </w:pPr>
      <w:bookmarkStart w:id="7" w:name="_Toc2433"/>
      <w:r>
        <w:rPr>
          <w:rFonts w:hint="default" w:ascii="Times New Roman" w:hAnsi="Times New Roman" w:cs="Times New Roman"/>
        </w:rPr>
        <w:t>系统技术架构</w:t>
      </w:r>
      <w:bookmarkEnd w:id="7"/>
    </w:p>
    <w:p>
      <w:pPr>
        <w:pStyle w:val="18"/>
        <w:rPr>
          <w:rFonts w:hint="default" w:ascii="Times New Roman" w:hAnsi="Times New Roman" w:cs="Times New Roman"/>
        </w:rPr>
      </w:pPr>
      <w:r>
        <w:rPr>
          <w:rFonts w:hint="default" w:ascii="Times New Roman" w:hAnsi="Times New Roman" w:eastAsia="宋体" w:cs="Times New Roman"/>
        </w:rPr>
        <w:t>系统总体架构宜采用分层、模块化和可扩展设计。可根据部署规模采用集中式、微服务、云原生或混合部署模式，但应保证数据安全、业务连续性、接口互操作和运行可维护性。</w:t>
      </w:r>
    </w:p>
    <w:p>
      <w:pPr>
        <w:pStyle w:val="17"/>
        <w:bidi w:val="0"/>
        <w:rPr>
          <w:rFonts w:hint="default" w:ascii="Times New Roman" w:hAnsi="Times New Roman" w:cs="Times New Roman"/>
        </w:rPr>
      </w:pPr>
      <w:r>
        <w:rPr>
          <w:rFonts w:hint="default" w:ascii="Times New Roman" w:hAnsi="Times New Roman" w:cs="Times New Roman"/>
        </w:rPr>
        <w:t>感知接入层</w:t>
      </w:r>
    </w:p>
    <w:p>
      <w:pPr>
        <w:pStyle w:val="18"/>
        <w:rPr>
          <w:rFonts w:hint="default" w:ascii="Times New Roman" w:hAnsi="Times New Roman" w:cs="Times New Roman"/>
        </w:rPr>
      </w:pPr>
      <w:r>
        <w:rPr>
          <w:rFonts w:hint="default" w:ascii="Times New Roman" w:hAnsi="Times New Roman" w:eastAsia="宋体" w:cs="Times New Roman"/>
        </w:rPr>
        <w:t>系统应支持血糖仪、连续葡萄糖监测设备、血压计、体重秤、运动设备、患者端填报、医护端录入和医疗机构信息系统等多源数据接入；应记录设备、用户、时间戳、数据来源和接入状态。</w:t>
      </w:r>
    </w:p>
    <w:p>
      <w:pPr>
        <w:pStyle w:val="17"/>
        <w:bidi w:val="0"/>
        <w:rPr>
          <w:rFonts w:hint="default" w:ascii="Times New Roman" w:hAnsi="Times New Roman" w:cs="Times New Roman"/>
        </w:rPr>
      </w:pPr>
      <w:r>
        <w:rPr>
          <w:rFonts w:hint="default" w:ascii="Times New Roman" w:hAnsi="Times New Roman" w:cs="Times New Roman"/>
        </w:rPr>
        <w:t>数据治理层</w:t>
      </w:r>
    </w:p>
    <w:p>
      <w:pPr>
        <w:pStyle w:val="18"/>
        <w:rPr>
          <w:rFonts w:hint="default" w:ascii="Times New Roman" w:hAnsi="Times New Roman" w:cs="Times New Roman"/>
        </w:rPr>
      </w:pPr>
      <w:r>
        <w:rPr>
          <w:rFonts w:hint="default" w:ascii="Times New Roman" w:hAnsi="Times New Roman" w:eastAsia="宋体" w:cs="Times New Roman"/>
        </w:rPr>
        <w:t>系统应具备高并发接入缓冲、协议解析、异常识别、数据质量标记、时间序列处理、数据元映射和专病数据资源管理能力。</w:t>
      </w:r>
    </w:p>
    <w:p>
      <w:pPr>
        <w:pStyle w:val="17"/>
        <w:bidi w:val="0"/>
        <w:rPr>
          <w:rFonts w:hint="default" w:ascii="Times New Roman" w:hAnsi="Times New Roman" w:cs="Times New Roman"/>
        </w:rPr>
      </w:pPr>
      <w:r>
        <w:rPr>
          <w:rFonts w:hint="default" w:ascii="Times New Roman" w:hAnsi="Times New Roman" w:cs="Times New Roman"/>
        </w:rPr>
        <w:t>算法与规则层</w:t>
      </w:r>
    </w:p>
    <w:p>
      <w:pPr>
        <w:pStyle w:val="18"/>
        <w:rPr>
          <w:rFonts w:hint="default" w:ascii="Times New Roman" w:hAnsi="Times New Roman" w:cs="Times New Roman"/>
        </w:rPr>
      </w:pPr>
      <w:r>
        <w:rPr>
          <w:rFonts w:hint="default" w:ascii="Times New Roman" w:hAnsi="Times New Roman" w:eastAsia="宋体" w:cs="Times New Roman"/>
        </w:rPr>
        <w:t>系统应支持规则库、知识库、风险模型和预警策略配置；算法输出应可解释、可追溯、可测试，并具备版本和变更控制。系统不应强制依赖特定消息中间件、流计算框架、图数据库或机器学习算法。</w:t>
      </w:r>
    </w:p>
    <w:p>
      <w:pPr>
        <w:pStyle w:val="17"/>
        <w:bidi w:val="0"/>
        <w:rPr>
          <w:rFonts w:hint="default" w:ascii="Times New Roman" w:hAnsi="Times New Roman" w:cs="Times New Roman"/>
        </w:rPr>
      </w:pPr>
      <w:r>
        <w:rPr>
          <w:rFonts w:hint="default" w:ascii="Times New Roman" w:hAnsi="Times New Roman" w:cs="Times New Roman"/>
        </w:rPr>
        <w:t>业务应用层</w:t>
      </w:r>
    </w:p>
    <w:p>
      <w:pPr>
        <w:pStyle w:val="18"/>
        <w:rPr>
          <w:rFonts w:hint="default" w:ascii="Times New Roman" w:hAnsi="Times New Roman" w:cs="Times New Roman"/>
        </w:rPr>
      </w:pPr>
      <w:r>
        <w:rPr>
          <w:rFonts w:hint="default" w:ascii="Times New Roman" w:hAnsi="Times New Roman" w:eastAsia="宋体" w:cs="Times New Roman"/>
        </w:rPr>
        <w:t>系统应支持干预任务生成、分发、确认、执行反馈、效果评价和消息通知；涉及诊疗事项的输出应区分健康提醒、管理建议和需人工确认事项。</w:t>
      </w:r>
    </w:p>
    <w:p>
      <w:pPr>
        <w:pStyle w:val="17"/>
        <w:bidi w:val="0"/>
        <w:rPr>
          <w:rFonts w:hint="default" w:ascii="Times New Roman" w:hAnsi="Times New Roman" w:cs="Times New Roman"/>
        </w:rPr>
      </w:pPr>
      <w:r>
        <w:rPr>
          <w:rFonts w:hint="default" w:ascii="Times New Roman" w:hAnsi="Times New Roman" w:cs="Times New Roman"/>
        </w:rPr>
        <w:t>安全与运维支撑层</w:t>
      </w:r>
    </w:p>
    <w:p>
      <w:pPr>
        <w:pStyle w:val="18"/>
        <w:rPr>
          <w:rFonts w:hint="default" w:ascii="Times New Roman" w:hAnsi="Times New Roman" w:cs="Times New Roman"/>
        </w:rPr>
      </w:pPr>
      <w:r>
        <w:rPr>
          <w:rFonts w:hint="default" w:ascii="Times New Roman" w:hAnsi="Times New Roman" w:eastAsia="宋体" w:cs="Times New Roman"/>
        </w:rPr>
        <w:t>系统应覆盖身份鉴别、访问控制、传输与存储保护、日志审计、防篡改、监控告警、备份恢复和安全事件处置。</w:t>
      </w:r>
    </w:p>
    <w:p>
      <w:pPr>
        <w:pStyle w:val="17"/>
        <w:bidi w:val="0"/>
        <w:rPr>
          <w:rFonts w:hint="default" w:ascii="Times New Roman" w:hAnsi="Times New Roman" w:cs="Times New Roman"/>
        </w:rPr>
      </w:pPr>
      <w:r>
        <w:rPr>
          <w:rFonts w:hint="default" w:ascii="Times New Roman" w:hAnsi="Times New Roman" w:cs="Times New Roman"/>
        </w:rPr>
        <w:t>接口与互操作</w:t>
      </w:r>
    </w:p>
    <w:p>
      <w:pPr>
        <w:pStyle w:val="18"/>
        <w:rPr>
          <w:rFonts w:hint="default" w:ascii="Times New Roman" w:hAnsi="Times New Roman" w:cs="Times New Roman"/>
        </w:rPr>
      </w:pPr>
      <w:r>
        <w:rPr>
          <w:rFonts w:hint="default" w:ascii="Times New Roman" w:hAnsi="Times New Roman" w:eastAsia="宋体" w:cs="Times New Roman"/>
        </w:rPr>
        <w:t>系统与医疗机构信息系统、检验系统、电子病历、患者端应用、设备平台或第三方服务互联时，应采用安全、稳定、可审计的接口。宜参考HL7 FHIR、ISO/IEEE 11073等国际互操作标准或国家、行业相关接口规范进行数据交换设计。</w:t>
      </w:r>
    </w:p>
    <w:p>
      <w:pPr>
        <w:pStyle w:val="21"/>
        <w:bidi w:val="0"/>
        <w:rPr>
          <w:rFonts w:hint="default" w:ascii="Times New Roman" w:hAnsi="Times New Roman" w:cs="Times New Roman"/>
        </w:rPr>
      </w:pPr>
      <w:bookmarkStart w:id="8" w:name="_Toc19900"/>
      <w:r>
        <w:rPr>
          <w:rFonts w:hint="default" w:ascii="Times New Roman" w:hAnsi="Times New Roman" w:cs="Times New Roman"/>
        </w:rPr>
        <w:t>数据接入与治理要求</w:t>
      </w:r>
      <w:bookmarkEnd w:id="8"/>
    </w:p>
    <w:p>
      <w:pPr>
        <w:pStyle w:val="17"/>
        <w:bidi w:val="0"/>
        <w:rPr>
          <w:rFonts w:hint="default" w:ascii="Times New Roman" w:hAnsi="Times New Roman" w:cs="Times New Roman"/>
        </w:rPr>
      </w:pPr>
      <w:r>
        <w:rPr>
          <w:rFonts w:hint="default" w:ascii="Times New Roman" w:hAnsi="Times New Roman" w:cs="Times New Roman"/>
        </w:rPr>
        <w:t>数据来源</w:t>
      </w:r>
    </w:p>
    <w:p>
      <w:pPr>
        <w:pStyle w:val="18"/>
        <w:rPr>
          <w:rFonts w:hint="default" w:ascii="Times New Roman" w:hAnsi="Times New Roman" w:cs="Times New Roman"/>
        </w:rPr>
      </w:pPr>
      <w:r>
        <w:rPr>
          <w:rFonts w:hint="default" w:ascii="Times New Roman" w:hAnsi="Times New Roman" w:eastAsia="宋体" w:cs="Times New Roman"/>
        </w:rPr>
        <w:t>系统接入的数据可包括但不限于血糖、CGM、血压、体重、运动、饮食、睡眠、用药、症状、患者报告结局、诊断、检验检查、处方、随访和不良事件信息。系统应标识数据来源、采集方式、采集时间、接收时间、设备编号或接口来源。</w:t>
      </w:r>
    </w:p>
    <w:p>
      <w:pPr>
        <w:pStyle w:val="17"/>
        <w:bidi w:val="0"/>
        <w:rPr>
          <w:rFonts w:hint="default" w:ascii="Times New Roman" w:hAnsi="Times New Roman" w:cs="Times New Roman"/>
        </w:rPr>
      </w:pPr>
      <w:r>
        <w:rPr>
          <w:rFonts w:hint="default" w:ascii="Times New Roman" w:hAnsi="Times New Roman" w:cs="Times New Roman"/>
        </w:rPr>
        <w:t>接入缓冲与可靠性</w:t>
      </w:r>
    </w:p>
    <w:p>
      <w:pPr>
        <w:pStyle w:val="18"/>
        <w:rPr>
          <w:rFonts w:hint="default" w:ascii="Times New Roman" w:hAnsi="Times New Roman" w:eastAsia="宋体" w:cs="Times New Roman"/>
          <w:lang w:val="en-US" w:eastAsia="zh-CN"/>
        </w:rPr>
      </w:pPr>
      <w:r>
        <w:rPr>
          <w:rFonts w:hint="default" w:ascii="Times New Roman" w:hAnsi="Times New Roman" w:eastAsia="宋体" w:cs="Times New Roman"/>
        </w:rPr>
        <w:t>系统应具备与业务规模匹配的接入缓冲和重试机制。高频设备数据接入场景下，应对峰值吞吐量、拒绝率、丢包率、重复报文、乱序报文和延迟报文进行测试和记录。峰值吞吐量指标宜根据项目规模分级设定，不宜以单一数值适用于全部部署场景。</w:t>
      </w:r>
    </w:p>
    <w:p>
      <w:pPr>
        <w:pStyle w:val="17"/>
        <w:bidi w:val="0"/>
        <w:rPr>
          <w:rFonts w:hint="default" w:ascii="Times New Roman" w:hAnsi="Times New Roman" w:cs="Times New Roman"/>
        </w:rPr>
      </w:pPr>
      <w:r>
        <w:rPr>
          <w:rFonts w:hint="default" w:ascii="Times New Roman" w:hAnsi="Times New Roman" w:cs="Times New Roman"/>
        </w:rPr>
        <w:t>数据质量控制</w:t>
      </w:r>
    </w:p>
    <w:p>
      <w:pPr>
        <w:pStyle w:val="18"/>
        <w:rPr>
          <w:rFonts w:hint="default" w:ascii="Times New Roman" w:hAnsi="Times New Roman" w:eastAsia="宋体" w:cs="Times New Roman"/>
        </w:rPr>
      </w:pPr>
      <w:r>
        <w:rPr>
          <w:rFonts w:hint="default" w:ascii="Times New Roman" w:hAnsi="Times New Roman" w:eastAsia="宋体" w:cs="Times New Roman"/>
        </w:rPr>
        <w:t>系统应对缺失、重复、越界、单位错误、时间戳异常、设备故障码、传感器脱落、网络中断和用户误填等情况进行识别、标记和处理。系统不得将经算法修补的数据与原始观测数据混同，应保留原始值、处理后值、处理方法、处理时间和处理版本。</w:t>
      </w:r>
    </w:p>
    <w:p>
      <w:pPr>
        <w:pStyle w:val="17"/>
        <w:bidi w:val="0"/>
        <w:rPr>
          <w:rFonts w:hint="default" w:ascii="Times New Roman" w:hAnsi="Times New Roman" w:cs="Times New Roman"/>
        </w:rPr>
      </w:pPr>
      <w:r>
        <w:rPr>
          <w:rFonts w:hint="default" w:ascii="Times New Roman" w:hAnsi="Times New Roman" w:cs="Times New Roman"/>
        </w:rPr>
        <w:t>标准化映射</w:t>
      </w:r>
    </w:p>
    <w:p>
      <w:pPr>
        <w:pStyle w:val="18"/>
        <w:rPr>
          <w:rFonts w:hint="default" w:ascii="Times New Roman" w:hAnsi="Times New Roman" w:cs="Times New Roman"/>
        </w:rPr>
      </w:pPr>
      <w:r>
        <w:rPr>
          <w:rFonts w:hint="default" w:ascii="Times New Roman" w:hAnsi="Times New Roman" w:eastAsia="宋体" w:cs="Times New Roman"/>
        </w:rPr>
        <w:t>从HIS、EMR、LIS或区域健康信息平台提取临床数据时，应进行结构化转换和标准化映射。卫生信息数据元和值域代码宜符合WS/T 363、WS/T 364的要求；检验项目、诊断、药品和设备数据应优先采用国家、行业或机构认可的编码体系。</w:t>
      </w:r>
    </w:p>
    <w:p>
      <w:pPr>
        <w:pStyle w:val="17"/>
        <w:bidi w:val="0"/>
        <w:rPr>
          <w:rFonts w:hint="default" w:ascii="Times New Roman" w:hAnsi="Times New Roman" w:cs="Times New Roman"/>
        </w:rPr>
      </w:pPr>
      <w:r>
        <w:rPr>
          <w:rFonts w:hint="default" w:ascii="Times New Roman" w:hAnsi="Times New Roman" w:cs="Times New Roman"/>
        </w:rPr>
        <w:t>数据分类分级</w:t>
      </w:r>
    </w:p>
    <w:p>
      <w:pPr>
        <w:pStyle w:val="18"/>
        <w:rPr>
          <w:rFonts w:hint="default" w:ascii="Times New Roman" w:hAnsi="Times New Roman" w:cs="Times New Roman"/>
        </w:rPr>
      </w:pPr>
      <w:r>
        <w:rPr>
          <w:rFonts w:hint="default" w:ascii="Times New Roman" w:hAnsi="Times New Roman" w:eastAsia="宋体" w:cs="Times New Roman"/>
        </w:rPr>
        <w:t>系统应依据数据敏感程度、影响对象、影响范围和安全风险，对个人信息、敏感个人信息、健康医疗数据、业务数据、日志数据和模型数据进行分类分级管理。分类分级方法应符合GB/T 43697—2024、GB/T 39725—2020和相关法律法规要求。</w:t>
      </w:r>
    </w:p>
    <w:p>
      <w:pPr>
        <w:pStyle w:val="21"/>
        <w:bidi w:val="0"/>
        <w:rPr>
          <w:rFonts w:hint="default" w:ascii="Times New Roman" w:hAnsi="Times New Roman" w:cs="Times New Roman"/>
        </w:rPr>
      </w:pPr>
      <w:bookmarkStart w:id="9" w:name="_Toc1621"/>
      <w:r>
        <w:rPr>
          <w:rFonts w:hint="default" w:ascii="Times New Roman" w:hAnsi="Times New Roman" w:cs="Times New Roman"/>
        </w:rPr>
        <w:t>智能化辅助决策与算法要求</w:t>
      </w:r>
      <w:bookmarkEnd w:id="9"/>
    </w:p>
    <w:p>
      <w:pPr>
        <w:pStyle w:val="17"/>
        <w:bidi w:val="0"/>
        <w:rPr>
          <w:rFonts w:hint="default" w:ascii="Times New Roman" w:hAnsi="Times New Roman" w:cs="Times New Roman"/>
        </w:rPr>
      </w:pPr>
      <w:r>
        <w:rPr>
          <w:rFonts w:hint="default" w:ascii="Times New Roman" w:hAnsi="Times New Roman" w:cs="Times New Roman"/>
        </w:rPr>
        <w:t>画像与风险分层</w:t>
      </w:r>
    </w:p>
    <w:p>
      <w:pPr>
        <w:pStyle w:val="18"/>
        <w:rPr>
          <w:rFonts w:hint="default" w:ascii="Times New Roman" w:hAnsi="Times New Roman" w:cs="Times New Roman"/>
        </w:rPr>
      </w:pPr>
      <w:r>
        <w:rPr>
          <w:rFonts w:hint="default" w:ascii="Times New Roman" w:hAnsi="Times New Roman" w:eastAsia="宋体" w:cs="Times New Roman"/>
        </w:rPr>
        <w:t>系统可基于临床资料、监测数据和行为数据形成患者画像和风险分层。画像标签应明确标签定义、生成依据、输入数据、更新周期、适用人群和失效条件。静态标签和动态标签应区分管理。</w:t>
      </w:r>
    </w:p>
    <w:p>
      <w:pPr>
        <w:pStyle w:val="17"/>
        <w:bidi w:val="0"/>
        <w:rPr>
          <w:rFonts w:hint="default" w:ascii="Times New Roman" w:hAnsi="Times New Roman" w:cs="Times New Roman"/>
        </w:rPr>
      </w:pPr>
      <w:r>
        <w:rPr>
          <w:rFonts w:hint="default" w:ascii="Times New Roman" w:hAnsi="Times New Roman" w:cs="Times New Roman"/>
        </w:rPr>
        <w:t>CDSS规则和模型</w:t>
      </w:r>
    </w:p>
    <w:p>
      <w:pPr>
        <w:pStyle w:val="18"/>
        <w:rPr>
          <w:rFonts w:hint="default" w:ascii="Times New Roman" w:hAnsi="Times New Roman" w:cs="Times New Roman"/>
        </w:rPr>
      </w:pPr>
      <w:r>
        <w:rPr>
          <w:rFonts w:hint="default" w:ascii="Times New Roman" w:hAnsi="Times New Roman" w:eastAsia="宋体" w:cs="Times New Roman"/>
        </w:rPr>
        <w:t>CDSS可采用规则、知识图谱、统计模型、机器学习模型或其组合方式实现。采用机器学习或深度学习模型时，应记录训练数据来源、样本特征、适用边界、性能指标、偏倚评估、版本、验证结果和上线审批记录。</w:t>
      </w:r>
    </w:p>
    <w:p>
      <w:pPr>
        <w:pStyle w:val="17"/>
        <w:bidi w:val="0"/>
        <w:rPr>
          <w:rFonts w:hint="default" w:ascii="Times New Roman" w:hAnsi="Times New Roman" w:cs="Times New Roman"/>
        </w:rPr>
      </w:pPr>
      <w:r>
        <w:rPr>
          <w:rFonts w:hint="default" w:ascii="Times New Roman" w:hAnsi="Times New Roman" w:cs="Times New Roman"/>
        </w:rPr>
        <w:t>输出管理</w:t>
      </w:r>
    </w:p>
    <w:p>
      <w:pPr>
        <w:pStyle w:val="18"/>
        <w:rPr>
          <w:rFonts w:hint="default" w:ascii="Times New Roman" w:hAnsi="Times New Roman" w:cs="Times New Roman"/>
        </w:rPr>
      </w:pPr>
      <w:r>
        <w:rPr>
          <w:rFonts w:hint="default" w:ascii="Times New Roman" w:hAnsi="Times New Roman" w:eastAsia="宋体" w:cs="Times New Roman"/>
        </w:rPr>
        <w:t>系统输出应按风险等级和用途进行标识，至少区分健康教育提醒、生活方式建议、随访任务、风险预警和需人工确认的临床相关建议。系统界面应提示输出来源、适用条件、主要依据和必要的不确定性说明。</w:t>
      </w:r>
    </w:p>
    <w:p>
      <w:pPr>
        <w:pStyle w:val="17"/>
        <w:bidi w:val="0"/>
        <w:rPr>
          <w:rFonts w:hint="default" w:ascii="Times New Roman" w:hAnsi="Times New Roman" w:cs="Times New Roman"/>
        </w:rPr>
      </w:pPr>
      <w:r>
        <w:rPr>
          <w:rFonts w:hint="default" w:ascii="Times New Roman" w:hAnsi="Times New Roman" w:cs="Times New Roman"/>
        </w:rPr>
        <w:t>算法变更控制</w:t>
      </w:r>
    </w:p>
    <w:p>
      <w:pPr>
        <w:pStyle w:val="18"/>
        <w:rPr>
          <w:rFonts w:hint="default" w:ascii="Times New Roman" w:hAnsi="Times New Roman" w:cs="Times New Roman"/>
        </w:rPr>
      </w:pPr>
      <w:r>
        <w:rPr>
          <w:rFonts w:hint="default" w:ascii="Times New Roman" w:hAnsi="Times New Roman" w:eastAsia="宋体" w:cs="Times New Roman"/>
        </w:rPr>
        <w:t>规则库、阈值、模型参数、训练数据、版本或输出逻辑发生变更时，应进行影响评估、测试验证、审批、灰度发布和回滚准备。涉及医疗器械软件或人工智能医疗器械的，应符合医疗器械注册审查和变更管理要求。</w:t>
      </w:r>
    </w:p>
    <w:p>
      <w:pPr>
        <w:pStyle w:val="21"/>
        <w:bidi w:val="0"/>
        <w:rPr>
          <w:rFonts w:hint="default" w:ascii="Times New Roman" w:hAnsi="Times New Roman" w:cs="Times New Roman"/>
        </w:rPr>
      </w:pPr>
      <w:bookmarkStart w:id="10" w:name="_Toc31197"/>
      <w:r>
        <w:rPr>
          <w:rFonts w:hint="default" w:ascii="Times New Roman" w:hAnsi="Times New Roman" w:cs="Times New Roman"/>
        </w:rPr>
        <w:t>预警与闭环处置要求</w:t>
      </w:r>
      <w:bookmarkEnd w:id="10"/>
    </w:p>
    <w:p>
      <w:pPr>
        <w:pStyle w:val="17"/>
        <w:bidi w:val="0"/>
        <w:rPr>
          <w:rFonts w:hint="default" w:ascii="Times New Roman" w:hAnsi="Times New Roman" w:cs="Times New Roman"/>
        </w:rPr>
      </w:pPr>
      <w:r>
        <w:rPr>
          <w:rFonts w:hint="default" w:ascii="Times New Roman" w:hAnsi="Times New Roman" w:cs="Times New Roman"/>
        </w:rPr>
        <w:t>预警分级</w:t>
      </w:r>
    </w:p>
    <w:p>
      <w:pPr>
        <w:pStyle w:val="18"/>
        <w:rPr>
          <w:rFonts w:hint="default" w:ascii="Times New Roman" w:hAnsi="Times New Roman" w:cs="Times New Roman"/>
        </w:rPr>
      </w:pPr>
      <w:r>
        <w:rPr>
          <w:rFonts w:hint="default" w:ascii="Times New Roman" w:hAnsi="Times New Roman" w:eastAsia="宋体" w:cs="Times New Roman"/>
        </w:rPr>
        <w:t>系统应根据血糖水平、变化趋势、持续时间、患者风险分层、并发症风险、特殊人群状态和人工确认情况设置预警等级。预警阈值应依据临床指南、医疗机构制度或医嘱配置，并支持版本管理。</w:t>
      </w:r>
    </w:p>
    <w:p>
      <w:pPr>
        <w:pStyle w:val="18"/>
        <w:rPr>
          <w:rFonts w:hint="default" w:ascii="Times New Roman" w:hAnsi="Times New Roman" w:cs="Times New Roman"/>
        </w:rPr>
      </w:pPr>
      <w:r>
        <w:rPr>
          <w:rFonts w:hint="default" w:ascii="Times New Roman" w:hAnsi="Times New Roman" w:eastAsia="宋体" w:cs="Times New Roman"/>
        </w:rPr>
        <w:t>低风险提醒可包括轻度偏离目标范围、任务未完成、设备短时离线等场景，系统可向患者端推送健康教育、行为提醒或设备检查提示，并记录触达状态。</w:t>
      </w:r>
    </w:p>
    <w:p>
      <w:pPr>
        <w:pStyle w:val="18"/>
        <w:rPr>
          <w:rFonts w:hint="default" w:ascii="Times New Roman" w:hAnsi="Times New Roman" w:cs="Times New Roman"/>
        </w:rPr>
      </w:pPr>
      <w:r>
        <w:rPr>
          <w:rFonts w:hint="default" w:ascii="Times New Roman" w:hAnsi="Times New Roman" w:eastAsia="宋体" w:cs="Times New Roman"/>
        </w:rPr>
        <w:t>中风险预警可包括连续多日TIR下降、持续高血糖趋势、重复低血糖警戒等场景，系统应生成随访任务或管理人员待办，提示复核近期数据、饮食运动和用药依从性。</w:t>
      </w:r>
    </w:p>
    <w:p>
      <w:pPr>
        <w:pStyle w:val="18"/>
        <w:rPr>
          <w:rFonts w:hint="default" w:ascii="Times New Roman" w:hAnsi="Times New Roman" w:cs="Times New Roman"/>
        </w:rPr>
      </w:pPr>
      <w:r>
        <w:rPr>
          <w:rFonts w:hint="default" w:ascii="Times New Roman" w:hAnsi="Times New Roman" w:eastAsia="宋体" w:cs="Times New Roman"/>
        </w:rPr>
        <w:t>高风险预警可包括疑似严重低血糖、极端高血糖、伴随症状或医嘱定义的危急场景，系统应启动多通道通知、人工确认和处置闭环；通知失败时应升级重试或转人工流程。</w:t>
      </w:r>
    </w:p>
    <w:p>
      <w:pPr>
        <w:pStyle w:val="17"/>
        <w:bidi w:val="0"/>
        <w:rPr>
          <w:rFonts w:hint="default" w:ascii="Times New Roman" w:hAnsi="Times New Roman" w:cs="Times New Roman"/>
        </w:rPr>
      </w:pPr>
      <w:r>
        <w:rPr>
          <w:rFonts w:hint="default" w:ascii="Times New Roman" w:hAnsi="Times New Roman" w:cs="Times New Roman"/>
        </w:rPr>
        <w:t>预警闭环</w:t>
      </w:r>
    </w:p>
    <w:p>
      <w:pPr>
        <w:pStyle w:val="18"/>
        <w:rPr>
          <w:rFonts w:hint="default" w:ascii="Times New Roman" w:hAnsi="Times New Roman" w:cs="Times New Roman"/>
        </w:rPr>
      </w:pPr>
      <w:r>
        <w:rPr>
          <w:rFonts w:hint="default" w:ascii="Times New Roman" w:hAnsi="Times New Roman" w:eastAsia="宋体" w:cs="Times New Roman"/>
        </w:rPr>
        <w:t>高风险预警应记录触发数据、触发规则、发送通道、发送时间、接收回执、人工确认、处置意见和关闭原因。系统应支持超时升级和误报反馈。</w:t>
      </w:r>
    </w:p>
    <w:p>
      <w:pPr>
        <w:pStyle w:val="17"/>
        <w:bidi w:val="0"/>
        <w:rPr>
          <w:rFonts w:hint="default" w:ascii="Times New Roman" w:hAnsi="Times New Roman" w:cs="Times New Roman"/>
        </w:rPr>
      </w:pPr>
      <w:r>
        <w:rPr>
          <w:rFonts w:hint="default" w:ascii="Times New Roman" w:hAnsi="Times New Roman" w:cs="Times New Roman"/>
        </w:rPr>
        <w:t>延迟指标</w:t>
      </w:r>
    </w:p>
    <w:p>
      <w:pPr>
        <w:pStyle w:val="18"/>
        <w:rPr>
          <w:rFonts w:hint="default" w:ascii="Times New Roman" w:hAnsi="Times New Roman" w:cs="Times New Roman"/>
        </w:rPr>
      </w:pPr>
      <w:r>
        <w:rPr>
          <w:rFonts w:hint="default" w:ascii="Times New Roman" w:hAnsi="Times New Roman" w:eastAsia="宋体" w:cs="Times New Roman"/>
        </w:rPr>
        <w:t>系统可设置内部预警延迟指标。指标应明确统计起点、终点、统计周期、样本量、网络条件和外部短信、电话、第三方服务延迟是否计入。对于高风险预警，系统内部处理延迟宜不高于3 s；具体指标应结合部署条件和安全评估确定。</w:t>
      </w:r>
    </w:p>
    <w:p>
      <w:pPr>
        <w:pStyle w:val="21"/>
        <w:bidi w:val="0"/>
        <w:rPr>
          <w:rFonts w:hint="default" w:ascii="Times New Roman" w:hAnsi="Times New Roman" w:cs="Times New Roman"/>
        </w:rPr>
      </w:pPr>
      <w:bookmarkStart w:id="11" w:name="_Toc32699"/>
      <w:r>
        <w:rPr>
          <w:rFonts w:hint="default" w:ascii="Times New Roman" w:hAnsi="Times New Roman" w:cs="Times New Roman"/>
        </w:rPr>
        <w:t>网络安全、数据安全与个人信息保护</w:t>
      </w:r>
      <w:bookmarkEnd w:id="11"/>
    </w:p>
    <w:p>
      <w:pPr>
        <w:pStyle w:val="17"/>
        <w:bidi w:val="0"/>
        <w:rPr>
          <w:rFonts w:hint="default" w:ascii="Times New Roman" w:hAnsi="Times New Roman" w:cs="Times New Roman"/>
        </w:rPr>
      </w:pPr>
      <w:r>
        <w:rPr>
          <w:rFonts w:hint="default" w:ascii="Times New Roman" w:hAnsi="Times New Roman" w:cs="Times New Roman"/>
        </w:rPr>
        <w:t>网络安全等级保护要求</w:t>
      </w:r>
    </w:p>
    <w:p>
      <w:pPr>
        <w:pStyle w:val="18"/>
        <w:rPr>
          <w:rFonts w:hint="default" w:ascii="Times New Roman" w:hAnsi="Times New Roman" w:cs="Times New Roman"/>
        </w:rPr>
      </w:pPr>
      <w:r>
        <w:rPr>
          <w:rFonts w:hint="default" w:ascii="Times New Roman" w:hAnsi="Times New Roman" w:eastAsia="宋体" w:cs="Times New Roman"/>
        </w:rPr>
        <w:t>承载糖尿病数字健康干预核心业务和健康医疗数据的系统，应依据网络安全等级保护要求确定保护等级。面向医疗机构核心业务、互联网诊疗或大规模健康医疗数据处理的系统，宜按第三级及以上要求建设、测评和整改。</w:t>
      </w:r>
    </w:p>
    <w:p>
      <w:pPr>
        <w:pStyle w:val="17"/>
        <w:bidi w:val="0"/>
        <w:rPr>
          <w:rFonts w:hint="default" w:ascii="Times New Roman" w:hAnsi="Times New Roman" w:cs="Times New Roman"/>
        </w:rPr>
      </w:pPr>
      <w:r>
        <w:rPr>
          <w:rFonts w:hint="default" w:ascii="Times New Roman" w:hAnsi="Times New Roman" w:cs="Times New Roman"/>
        </w:rPr>
        <w:t>身份鉴别与访问控制</w:t>
      </w:r>
    </w:p>
    <w:p>
      <w:pPr>
        <w:pStyle w:val="18"/>
        <w:rPr>
          <w:rFonts w:hint="default" w:ascii="Times New Roman" w:hAnsi="Times New Roman" w:cs="Times New Roman"/>
        </w:rPr>
      </w:pPr>
      <w:r>
        <w:rPr>
          <w:rFonts w:hint="default" w:ascii="Times New Roman" w:hAnsi="Times New Roman" w:eastAsia="宋体" w:cs="Times New Roman"/>
        </w:rPr>
        <w:t>系统应对患者、医务人员、健康管理人员、运维人员、接口调用方和管理员实施身份鉴别和权限控制。高权限操作、远程运维、敏感数据导出、规则变更和模型发布应启用多因素认证、审批和审计。</w:t>
      </w:r>
    </w:p>
    <w:p>
      <w:pPr>
        <w:pStyle w:val="17"/>
        <w:bidi w:val="0"/>
        <w:rPr>
          <w:rFonts w:hint="default" w:ascii="Times New Roman" w:hAnsi="Times New Roman" w:cs="Times New Roman"/>
        </w:rPr>
      </w:pPr>
      <w:r>
        <w:rPr>
          <w:rFonts w:hint="default" w:ascii="Times New Roman" w:hAnsi="Times New Roman" w:cs="Times New Roman"/>
        </w:rPr>
        <w:t>传输与存储保护</w:t>
      </w:r>
    </w:p>
    <w:p>
      <w:pPr>
        <w:pStyle w:val="18"/>
        <w:rPr>
          <w:rFonts w:hint="default" w:ascii="Times New Roman" w:hAnsi="Times New Roman" w:cs="Times New Roman"/>
        </w:rPr>
      </w:pPr>
      <w:r>
        <w:rPr>
          <w:rFonts w:hint="default" w:ascii="Times New Roman" w:hAnsi="Times New Roman" w:eastAsia="宋体" w:cs="Times New Roman"/>
        </w:rPr>
        <w:t>敏感个人信息和健康医疗数据在传输过程中应采用安全通信协议进行保护，宜采用TL</w:t>
      </w:r>
      <w:r>
        <w:rPr>
          <w:rFonts w:hint="eastAsia" w:ascii="Times New Roman" w:hAnsi="Times New Roman" w:cs="Times New Roman"/>
          <w:lang w:val="en-US" w:eastAsia="zh-CN"/>
        </w:rPr>
        <w:t xml:space="preserve"> </w:t>
      </w:r>
      <w:r>
        <w:rPr>
          <w:rFonts w:hint="default" w:ascii="Times New Roman" w:hAnsi="Times New Roman" w:eastAsia="宋体" w:cs="Times New Roman"/>
        </w:rPr>
        <w:t>S 1.2及以上版本，优先采用TLS 1.3。密码算法和密钥管理应符合国家密码管理要求，可采用SM系列算法或经认可的等效算法。存储保护应结合数据分类分级采用加密、脱敏、访问控制、备份保护和密钥轮换措施。</w:t>
      </w:r>
    </w:p>
    <w:p>
      <w:pPr>
        <w:pStyle w:val="17"/>
        <w:bidi w:val="0"/>
        <w:rPr>
          <w:rFonts w:hint="default" w:ascii="Times New Roman" w:hAnsi="Times New Roman" w:cs="Times New Roman"/>
        </w:rPr>
      </w:pPr>
      <w:r>
        <w:rPr>
          <w:rFonts w:hint="default" w:ascii="Times New Roman" w:hAnsi="Times New Roman" w:cs="Times New Roman"/>
        </w:rPr>
        <w:t>日志审计与防篡改</w:t>
      </w:r>
    </w:p>
    <w:p>
      <w:pPr>
        <w:pStyle w:val="18"/>
        <w:rPr>
          <w:rFonts w:hint="default" w:ascii="Times New Roman" w:hAnsi="Times New Roman" w:cs="Times New Roman"/>
        </w:rPr>
      </w:pPr>
      <w:r>
        <w:rPr>
          <w:rFonts w:hint="default" w:ascii="Times New Roman" w:hAnsi="Times New Roman" w:eastAsia="宋体" w:cs="Times New Roman"/>
        </w:rPr>
        <w:t>系统应记录数据接入、查询、导出、修改、删除、算法输出、人工确认、权限变更、规则变更、接口调用和运维操作日志。审计日志应防止未授权修改和删除，保存期限应符合网络安全、数据安全、医疗质量管理和机构制度要求，且不宜少于6个月；涉及诊疗记录的保存期限应按医疗文书和电子病历相关要求执行。</w:t>
      </w:r>
    </w:p>
    <w:p>
      <w:pPr>
        <w:pStyle w:val="17"/>
        <w:bidi w:val="0"/>
        <w:rPr>
          <w:rFonts w:hint="default" w:ascii="Times New Roman" w:hAnsi="Times New Roman" w:cs="Times New Roman"/>
        </w:rPr>
      </w:pPr>
      <w:r>
        <w:rPr>
          <w:rFonts w:hint="default" w:ascii="Times New Roman" w:hAnsi="Times New Roman" w:cs="Times New Roman"/>
        </w:rPr>
        <w:t>安全事件处置</w:t>
      </w:r>
    </w:p>
    <w:p>
      <w:pPr>
        <w:pStyle w:val="18"/>
        <w:rPr>
          <w:rFonts w:hint="default" w:ascii="Times New Roman" w:hAnsi="Times New Roman" w:cs="Times New Roman"/>
        </w:rPr>
      </w:pPr>
      <w:r>
        <w:rPr>
          <w:rFonts w:hint="default" w:ascii="Times New Roman" w:hAnsi="Times New Roman" w:eastAsia="宋体" w:cs="Times New Roman"/>
        </w:rPr>
        <w:t>系统应建立安全事件监测、告警、分级、处置、通报、复盘和整改机制。发生个人信息泄露、健康医疗数据泄露、模型异常输出、接口滥用或高风险预警失效时，应按法律法规和机构制度及时处置。</w:t>
      </w:r>
    </w:p>
    <w:p>
      <w:pPr>
        <w:pStyle w:val="21"/>
        <w:bidi w:val="0"/>
        <w:rPr>
          <w:rFonts w:hint="default" w:ascii="Times New Roman" w:hAnsi="Times New Roman" w:cs="Times New Roman"/>
        </w:rPr>
      </w:pPr>
      <w:bookmarkStart w:id="12" w:name="_Toc25455"/>
      <w:r>
        <w:rPr>
          <w:rFonts w:hint="default" w:ascii="Times New Roman" w:hAnsi="Times New Roman" w:cs="Times New Roman"/>
        </w:rPr>
        <w:t>运行支撑与运维要求</w:t>
      </w:r>
      <w:bookmarkEnd w:id="12"/>
    </w:p>
    <w:p>
      <w:pPr>
        <w:pStyle w:val="17"/>
        <w:bidi w:val="0"/>
        <w:rPr>
          <w:rFonts w:hint="default" w:ascii="Times New Roman" w:hAnsi="Times New Roman" w:cs="Times New Roman"/>
        </w:rPr>
      </w:pPr>
      <w:r>
        <w:rPr>
          <w:rFonts w:hint="default" w:ascii="Times New Roman" w:hAnsi="Times New Roman" w:cs="Times New Roman"/>
        </w:rPr>
        <w:t>监控与容量管理</w:t>
      </w:r>
    </w:p>
    <w:p>
      <w:pPr>
        <w:pStyle w:val="18"/>
        <w:rPr>
          <w:rFonts w:hint="default" w:ascii="Times New Roman" w:hAnsi="Times New Roman" w:cs="Times New Roman"/>
        </w:rPr>
      </w:pPr>
      <w:r>
        <w:rPr>
          <w:rFonts w:hint="default" w:ascii="Times New Roman" w:hAnsi="Times New Roman" w:eastAsia="宋体" w:cs="Times New Roman"/>
        </w:rPr>
        <w:t>系统应监控服务可用性、接口延迟、设备接入状态、消息积压、数据库性能、存储容量、模型服务状态、预警处理状态和第三方服务状态。系统应根据用户数、设备数、数据频率和业务峰值进行容量规划。</w:t>
      </w:r>
    </w:p>
    <w:p>
      <w:pPr>
        <w:pStyle w:val="17"/>
        <w:bidi w:val="0"/>
        <w:rPr>
          <w:rFonts w:hint="default" w:ascii="Times New Roman" w:hAnsi="Times New Roman" w:cs="Times New Roman"/>
        </w:rPr>
      </w:pPr>
      <w:r>
        <w:rPr>
          <w:rFonts w:hint="default" w:ascii="Times New Roman" w:hAnsi="Times New Roman" w:cs="Times New Roman"/>
        </w:rPr>
        <w:t>运维人员要求</w:t>
      </w:r>
    </w:p>
    <w:p>
      <w:pPr>
        <w:pStyle w:val="18"/>
        <w:rPr>
          <w:rFonts w:hint="default" w:ascii="Times New Roman" w:hAnsi="Times New Roman" w:cs="Times New Roman"/>
        </w:rPr>
      </w:pPr>
      <w:r>
        <w:rPr>
          <w:rFonts w:hint="default" w:ascii="Times New Roman" w:hAnsi="Times New Roman" w:eastAsia="宋体" w:cs="Times New Roman"/>
        </w:rPr>
        <w:t>运维团队应具备系统架构、数据库、网络安全、数据治理、医疗信息化和业务支持能力。远程维护应通过受控通道进行，禁止共享账号和未授权直连数据库。高风险操作应执行审批、双人复核、操作留痕和回滚准备。</w:t>
      </w:r>
    </w:p>
    <w:p>
      <w:pPr>
        <w:pStyle w:val="21"/>
        <w:bidi w:val="0"/>
        <w:rPr>
          <w:rFonts w:hint="default" w:ascii="Times New Roman" w:hAnsi="Times New Roman" w:cs="Times New Roman"/>
        </w:rPr>
      </w:pPr>
      <w:bookmarkStart w:id="13" w:name="_Toc21593"/>
      <w:r>
        <w:rPr>
          <w:rFonts w:hint="default" w:ascii="Times New Roman" w:hAnsi="Times New Roman" w:cs="Times New Roman"/>
        </w:rPr>
        <w:t>系统运行质量评测指标</w:t>
      </w:r>
      <w:bookmarkEnd w:id="13"/>
    </w:p>
    <w:p>
      <w:pPr>
        <w:pStyle w:val="18"/>
        <w:ind w:left="0" w:leftChars="0" w:firstLine="420" w:firstLineChars="200"/>
        <w:rPr>
          <w:rFonts w:hint="default" w:ascii="Times New Roman" w:hAnsi="Times New Roman" w:cs="Times New Roman"/>
        </w:rPr>
      </w:pPr>
      <w:r>
        <w:rPr>
          <w:rFonts w:hint="default" w:ascii="Times New Roman" w:hAnsi="Times New Roman" w:cs="Times New Roman"/>
        </w:rPr>
        <w:t>系统技术体系的日常运行质量、可靠性与算法精准度，应通过以下量化技术指标进行评估（具体指标的数学计算方法见本文件附录B）：</w:t>
      </w:r>
    </w:p>
    <w:p>
      <w:pPr>
        <w:pStyle w:val="17"/>
        <w:bidi w:val="0"/>
        <w:rPr>
          <w:rFonts w:hint="default" w:ascii="Times New Roman" w:hAnsi="Times New Roman" w:cs="Times New Roman"/>
        </w:rPr>
      </w:pPr>
      <w:r>
        <w:rPr>
          <w:rFonts w:hint="default" w:ascii="Times New Roman" w:hAnsi="Times New Roman" w:cs="Times New Roman"/>
        </w:rPr>
        <w:t>系统可用性（Availability）</w:t>
      </w:r>
    </w:p>
    <w:p>
      <w:pPr>
        <w:pStyle w:val="18"/>
        <w:ind w:left="0" w:leftChars="0" w:firstLine="420" w:firstLineChars="200"/>
        <w:rPr>
          <w:rFonts w:hint="default" w:ascii="Times New Roman" w:hAnsi="Times New Roman" w:cs="Times New Roman"/>
        </w:rPr>
      </w:pPr>
      <w:r>
        <w:rPr>
          <w:rFonts w:hint="default" w:ascii="Times New Roman" w:hAnsi="Times New Roman" w:cs="Times New Roman"/>
        </w:rPr>
        <w:t>系统年度无故障运行时间比例应 ≥99.</w:t>
      </w:r>
      <w:r>
        <w:rPr>
          <w:rFonts w:hint="eastAsia" w:ascii="Times New Roman" w:hAnsi="Times New Roman" w:cs="Times New Roman"/>
          <w:lang w:val="en-US" w:eastAsia="zh-CN"/>
        </w:rPr>
        <w:t>00</w:t>
      </w:r>
      <w:r>
        <w:rPr>
          <w:rFonts w:hint="default" w:ascii="Times New Roman" w:hAnsi="Times New Roman" w:cs="Times New Roman"/>
        </w:rPr>
        <w:t>%。</w:t>
      </w:r>
    </w:p>
    <w:p>
      <w:pPr>
        <w:pStyle w:val="17"/>
        <w:bidi w:val="0"/>
        <w:rPr>
          <w:rFonts w:hint="default" w:ascii="Times New Roman" w:hAnsi="Times New Roman" w:cs="Times New Roman"/>
        </w:rPr>
      </w:pPr>
      <w:r>
        <w:rPr>
          <w:rFonts w:hint="default" w:ascii="Times New Roman" w:hAnsi="Times New Roman" w:cs="Times New Roman"/>
        </w:rPr>
        <w:t>物联网数据流结构化入库率</w:t>
      </w:r>
    </w:p>
    <w:p>
      <w:pPr>
        <w:pStyle w:val="18"/>
        <w:ind w:left="0" w:leftChars="0" w:firstLine="420" w:firstLineChars="200"/>
        <w:rPr>
          <w:rFonts w:hint="default" w:ascii="Times New Roman" w:hAnsi="Times New Roman" w:cs="Times New Roman"/>
        </w:rPr>
      </w:pPr>
      <w:r>
        <w:rPr>
          <w:rFonts w:hint="default" w:ascii="Times New Roman" w:hAnsi="Times New Roman" w:cs="Times New Roman"/>
        </w:rPr>
        <w:t>绑定硬件设备成功上传并成功结构化入库的数据包比例应 ≥98%。</w:t>
      </w:r>
    </w:p>
    <w:p>
      <w:pPr>
        <w:pStyle w:val="17"/>
        <w:bidi w:val="0"/>
        <w:rPr>
          <w:rFonts w:hint="default" w:ascii="Times New Roman" w:hAnsi="Times New Roman" w:cs="Times New Roman"/>
        </w:rPr>
      </w:pPr>
      <w:r>
        <w:rPr>
          <w:rFonts w:hint="default" w:ascii="Times New Roman" w:hAnsi="Times New Roman" w:cs="Times New Roman"/>
        </w:rPr>
        <w:t>危急值预警系统内部延迟</w:t>
      </w:r>
    </w:p>
    <w:p>
      <w:pPr>
        <w:pStyle w:val="18"/>
        <w:ind w:left="0" w:leftChars="0" w:firstLine="420" w:firstLineChars="200"/>
        <w:rPr>
          <w:rFonts w:hint="default" w:ascii="Times New Roman" w:hAnsi="Times New Roman" w:cs="Times New Roman"/>
        </w:rPr>
      </w:pPr>
      <w:r>
        <w:rPr>
          <w:rFonts w:hint="default" w:ascii="Times New Roman" w:hAnsi="Times New Roman" w:cs="Times New Roman"/>
        </w:rPr>
        <w:t>一级预警从流计算引擎接收到边缘端硬件数据包，到发出第一条多通道报警消息的系统内部处理时间应 ≤3000ms。</w:t>
      </w:r>
    </w:p>
    <w:p>
      <w:pPr>
        <w:pStyle w:val="17"/>
        <w:bidi w:val="0"/>
        <w:rPr>
          <w:rFonts w:hint="default" w:ascii="Times New Roman" w:hAnsi="Times New Roman" w:cs="Times New Roman"/>
        </w:rPr>
      </w:pPr>
      <w:r>
        <w:rPr>
          <w:rFonts w:hint="default" w:ascii="Times New Roman" w:hAnsi="Times New Roman" w:cs="Times New Roman"/>
        </w:rPr>
        <w:t>辅助决策（CDSS）算法推荐采纳率</w:t>
      </w:r>
    </w:p>
    <w:p>
      <w:pPr>
        <w:pStyle w:val="18"/>
        <w:ind w:left="0" w:leftChars="0" w:firstLine="420" w:firstLineChars="200"/>
        <w:rPr>
          <w:rFonts w:hint="default" w:ascii="Times New Roman" w:hAnsi="Times New Roman" w:cs="Times New Roman"/>
        </w:rPr>
      </w:pPr>
      <w:r>
        <w:rPr>
          <w:rFonts w:hint="default" w:ascii="Times New Roman" w:hAnsi="Times New Roman" w:cs="Times New Roman"/>
        </w:rPr>
        <w:t>平台自动生成的膳食、运动及监测频次推荐方案，经临床医护或管理人员审查后的直接采纳率或微调采纳率应 ≥75%。</w:t>
      </w:r>
    </w:p>
    <w:p>
      <w:pPr>
        <w:pStyle w:val="21"/>
        <w:bidi w:val="0"/>
        <w:rPr>
          <w:rFonts w:hint="default" w:ascii="Times New Roman" w:hAnsi="Times New Roman" w:cs="Times New Roman"/>
        </w:rPr>
      </w:pPr>
      <w:bookmarkStart w:id="14" w:name="_Toc31163"/>
      <w:r>
        <w:rPr>
          <w:rFonts w:hint="default" w:ascii="Times New Roman" w:hAnsi="Times New Roman" w:cs="Times New Roman"/>
        </w:rPr>
        <w:t>运维技术人员要求</w:t>
      </w:r>
      <w:bookmarkEnd w:id="14"/>
    </w:p>
    <w:p>
      <w:pPr>
        <w:pStyle w:val="17"/>
        <w:bidi w:val="0"/>
        <w:rPr>
          <w:rFonts w:hint="default" w:ascii="Times New Roman" w:hAnsi="Times New Roman" w:cs="Times New Roman"/>
        </w:rPr>
      </w:pPr>
      <w:r>
        <w:rPr>
          <w:rFonts w:hint="default" w:ascii="Times New Roman" w:hAnsi="Times New Roman" w:cs="Times New Roman"/>
        </w:rPr>
        <w:t>专业配置</w:t>
      </w:r>
    </w:p>
    <w:p>
      <w:pPr>
        <w:pStyle w:val="18"/>
        <w:rPr>
          <w:rFonts w:hint="default" w:ascii="Times New Roman" w:hAnsi="Times New Roman" w:cs="Times New Roman"/>
        </w:rPr>
      </w:pPr>
      <w:r>
        <w:rPr>
          <w:rFonts w:hint="default" w:ascii="Times New Roman" w:hAnsi="Times New Roman" w:eastAsia="宋体" w:cs="Times New Roman"/>
        </w:rPr>
        <w:t>系统运维团队应配置或具备数据安全、系统架构、数据库管理、网络安全、医疗信息化和医学信息学相关能力。对高并发物联网接入、数据治理、模型服务等关键岗位，应明确职责和替代机制。</w:t>
      </w:r>
    </w:p>
    <w:p>
      <w:pPr>
        <w:pStyle w:val="17"/>
        <w:bidi w:val="0"/>
        <w:rPr>
          <w:rFonts w:hint="default" w:ascii="Times New Roman" w:hAnsi="Times New Roman" w:cs="Times New Roman"/>
        </w:rPr>
      </w:pPr>
      <w:r>
        <w:rPr>
          <w:rFonts w:hint="default" w:ascii="Times New Roman" w:hAnsi="Times New Roman" w:cs="Times New Roman"/>
        </w:rPr>
        <w:t>运维安全</w:t>
      </w:r>
    </w:p>
    <w:p>
      <w:pPr>
        <w:pStyle w:val="18"/>
        <w:rPr>
          <w:rFonts w:hint="default" w:ascii="Times New Roman" w:hAnsi="Times New Roman" w:eastAsia="宋体" w:cs="Times New Roman"/>
        </w:rPr>
      </w:pPr>
      <w:r>
        <w:rPr>
          <w:rFonts w:hint="default" w:ascii="Times New Roman" w:hAnsi="Times New Roman" w:eastAsia="宋体" w:cs="Times New Roman"/>
        </w:rPr>
        <w:t>技术运维人员进行远程维护时，应采用堡垒机、双因素身份认证或同等安全控制措施。严禁未经授权直接执行数据库高危操作。运维操作应纳入审批、记录、审计和复盘管理。</w:t>
      </w:r>
    </w:p>
    <w:p>
      <w:pPr>
        <w:rPr>
          <w:rFonts w:hint="default" w:ascii="Times New Roman" w:hAnsi="Times New Roman" w:eastAsia="宋体" w:cs="Times New Roman"/>
        </w:rPr>
      </w:pPr>
      <w:r>
        <w:rPr>
          <w:rFonts w:hint="default" w:ascii="Times New Roman" w:hAnsi="Times New Roman" w:eastAsia="宋体" w:cs="Times New Roman"/>
        </w:rPr>
        <w:br w:type="page"/>
      </w:r>
    </w:p>
    <w:p>
      <w:pPr>
        <w:pStyle w:val="21"/>
        <w:numPr>
          <w:ilvl w:val="1"/>
          <w:numId w:val="0"/>
        </w:numPr>
        <w:ind w:leftChars="0"/>
        <w:jc w:val="center"/>
        <w:rPr>
          <w:rFonts w:hint="default" w:ascii="Times New Roman" w:hAnsi="Times New Roman" w:eastAsia="黑体" w:cs="Times New Roman"/>
          <w:b/>
          <w:bCs/>
          <w:kern w:val="0"/>
          <w:sz w:val="32"/>
          <w:szCs w:val="20"/>
          <w:lang w:val="en-US" w:eastAsia="zh-CN" w:bidi="ar-SA"/>
        </w:rPr>
      </w:pPr>
      <w:bookmarkStart w:id="15" w:name="_Toc31908"/>
      <w:r>
        <w:rPr>
          <w:rFonts w:hint="default" w:ascii="Times New Roman" w:hAnsi="Times New Roman" w:eastAsia="黑体" w:cs="Times New Roman"/>
          <w:b/>
          <w:bCs/>
          <w:kern w:val="0"/>
          <w:sz w:val="32"/>
          <w:szCs w:val="20"/>
          <w:lang w:val="en-US" w:eastAsia="zh-CN" w:bidi="ar-SA"/>
        </w:rPr>
        <w:t>附录 A</w:t>
      </w:r>
      <w:bookmarkEnd w:id="15"/>
    </w:p>
    <w:p>
      <w:pPr>
        <w:pStyle w:val="18"/>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黑体" w:cs="Times New Roman"/>
          <w:b w:val="0"/>
          <w:bCs w:val="0"/>
        </w:rPr>
      </w:pPr>
      <w:r>
        <w:rPr>
          <w:rFonts w:hint="default" w:ascii="Times New Roman" w:hAnsi="Times New Roman" w:eastAsia="黑体" w:cs="Times New Roman"/>
          <w:b w:val="0"/>
          <w:bCs w:val="0"/>
        </w:rPr>
        <w:t>（规范性）</w:t>
      </w:r>
    </w:p>
    <w:p>
      <w:pPr>
        <w:pStyle w:val="18"/>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黑体" w:cs="Times New Roman"/>
          <w:b w:val="0"/>
          <w:bCs w:val="0"/>
        </w:rPr>
      </w:pPr>
      <w:r>
        <w:rPr>
          <w:rFonts w:hint="default" w:ascii="Times New Roman" w:hAnsi="Times New Roman" w:eastAsia="黑体" w:cs="Times New Roman"/>
          <w:b w:val="0"/>
          <w:bCs w:val="0"/>
        </w:rPr>
        <w:t>糖尿病监测数据治理规则</w:t>
      </w:r>
    </w:p>
    <w:p>
      <w:pPr>
        <w:pStyle w:val="17"/>
        <w:numPr>
          <w:ilvl w:val="2"/>
          <w:numId w:val="0"/>
        </w:numPr>
        <w:ind w:leftChars="0"/>
        <w:outlineLvl w:val="9"/>
        <w:rPr>
          <w:rFonts w:hint="default" w:ascii="Times New Roman" w:hAnsi="Times New Roman" w:cs="Times New Roman"/>
          <w:b/>
          <w:bCs/>
        </w:rPr>
      </w:pPr>
      <w:r>
        <w:rPr>
          <w:rFonts w:hint="default" w:ascii="Times New Roman" w:hAnsi="Times New Roman" w:eastAsia="宋体" w:cs="Times New Roman"/>
          <w:b/>
          <w:bCs/>
        </w:rPr>
        <w:t>A.1 原始数据保留</w:t>
      </w:r>
    </w:p>
    <w:p>
      <w:pPr>
        <w:pStyle w:val="18"/>
        <w:rPr>
          <w:rFonts w:hint="default" w:ascii="Times New Roman" w:hAnsi="Times New Roman" w:cs="Times New Roman"/>
        </w:rPr>
      </w:pPr>
      <w:r>
        <w:rPr>
          <w:rFonts w:hint="default" w:ascii="Times New Roman" w:hAnsi="Times New Roman" w:eastAsia="宋体" w:cs="Times New Roman"/>
        </w:rPr>
        <w:t>系统应保留设备或接口上传的原始观测数据。任何清洗、插值、修补、单位转换或异常剔除处理均应生成处理记录，不得覆盖原始数据。</w:t>
      </w:r>
    </w:p>
    <w:p>
      <w:pPr>
        <w:pStyle w:val="17"/>
        <w:numPr>
          <w:ilvl w:val="2"/>
          <w:numId w:val="0"/>
        </w:numPr>
        <w:ind w:leftChars="0"/>
        <w:outlineLvl w:val="9"/>
        <w:rPr>
          <w:rFonts w:hint="default" w:ascii="Times New Roman" w:hAnsi="Times New Roman" w:eastAsia="宋体" w:cs="Times New Roman"/>
          <w:b/>
          <w:bCs/>
        </w:rPr>
      </w:pPr>
      <w:r>
        <w:rPr>
          <w:rFonts w:hint="default" w:ascii="Times New Roman" w:hAnsi="Times New Roman" w:eastAsia="宋体" w:cs="Times New Roman"/>
          <w:b/>
          <w:bCs/>
        </w:rPr>
        <w:t>A.2 异常值识别</w:t>
      </w:r>
    </w:p>
    <w:p>
      <w:pPr>
        <w:pStyle w:val="18"/>
        <w:rPr>
          <w:rFonts w:hint="default" w:ascii="Times New Roman" w:hAnsi="Times New Roman" w:cs="Times New Roman"/>
        </w:rPr>
      </w:pPr>
      <w:r>
        <w:rPr>
          <w:rFonts w:hint="default" w:ascii="Times New Roman" w:hAnsi="Times New Roman" w:eastAsia="宋体" w:cs="Times New Roman"/>
        </w:rPr>
        <w:t>系统可依据设备状态、取值范围、时间间隔、变化速率、重复测量和患者当前状态识别异常值。异常值识别规则应可配置、可追溯，并经测试验证。仅依据单一差分阈值剔除数据时，应防止误删真实快速变化事件。</w:t>
      </w:r>
    </w:p>
    <w:p>
      <w:pPr>
        <w:pStyle w:val="17"/>
        <w:numPr>
          <w:ilvl w:val="2"/>
          <w:numId w:val="0"/>
        </w:numPr>
        <w:ind w:leftChars="0"/>
        <w:outlineLvl w:val="9"/>
        <w:rPr>
          <w:rFonts w:hint="default" w:ascii="Times New Roman" w:hAnsi="Times New Roman" w:eastAsia="宋体" w:cs="Times New Roman"/>
          <w:b/>
          <w:bCs/>
        </w:rPr>
      </w:pPr>
      <w:r>
        <w:rPr>
          <w:rFonts w:hint="default" w:ascii="Times New Roman" w:hAnsi="Times New Roman" w:eastAsia="宋体" w:cs="Times New Roman"/>
          <w:b/>
          <w:bCs/>
        </w:rPr>
        <w:t>A.3 缺失数据处理</w:t>
      </w:r>
    </w:p>
    <w:p>
      <w:pPr>
        <w:pStyle w:val="18"/>
        <w:rPr>
          <w:rFonts w:hint="default" w:ascii="Times New Roman" w:hAnsi="Times New Roman" w:cs="Times New Roman"/>
        </w:rPr>
      </w:pPr>
      <w:r>
        <w:rPr>
          <w:rFonts w:hint="default" w:ascii="Times New Roman" w:hAnsi="Times New Roman" w:eastAsia="宋体" w:cs="Times New Roman"/>
        </w:rPr>
        <w:t>短时缺失数据可依据相邻有效值、设备特性和统计用途进行插值或估计；中长时缺失数据宜标记为缺失，不宜用于TIR、CV等核心指标计算。采用插值或预测模型时，应标明处理方法和适用边界。</w:t>
      </w:r>
    </w:p>
    <w:p>
      <w:pPr>
        <w:pStyle w:val="17"/>
        <w:numPr>
          <w:ilvl w:val="2"/>
          <w:numId w:val="0"/>
        </w:numPr>
        <w:ind w:leftChars="0"/>
        <w:outlineLvl w:val="9"/>
        <w:rPr>
          <w:rFonts w:hint="default" w:ascii="Times New Roman" w:hAnsi="Times New Roman" w:eastAsia="宋体" w:cs="Times New Roman"/>
          <w:b/>
          <w:bCs/>
        </w:rPr>
      </w:pPr>
      <w:r>
        <w:rPr>
          <w:rFonts w:hint="default" w:ascii="Times New Roman" w:hAnsi="Times New Roman" w:eastAsia="宋体" w:cs="Times New Roman"/>
          <w:b/>
          <w:bCs/>
        </w:rPr>
        <w:t>A.4 指标计算</w:t>
      </w:r>
    </w:p>
    <w:p>
      <w:pPr>
        <w:pStyle w:val="18"/>
        <w:rPr>
          <w:rFonts w:hint="default" w:ascii="Times New Roman" w:hAnsi="Times New Roman" w:eastAsia="宋体" w:cs="Times New Roman"/>
        </w:rPr>
      </w:pPr>
      <w:r>
        <w:rPr>
          <w:rFonts w:hint="default" w:ascii="Times New Roman" w:hAnsi="Times New Roman" w:eastAsia="宋体" w:cs="Times New Roman"/>
        </w:rPr>
        <w:t>计算TIR、TBR、TAR、平均葡萄糖、葡萄糖变异系数等指标时，应明确统计周期、有效数据比例、目标范围、缺失数据处理方法和特殊人群规则。</w:t>
      </w:r>
    </w:p>
    <w:p>
      <w:pPr>
        <w:rPr>
          <w:rFonts w:hint="default" w:ascii="Times New Roman" w:hAnsi="Times New Roman" w:eastAsia="宋体" w:cs="Times New Roman"/>
        </w:rPr>
      </w:pPr>
      <w:r>
        <w:rPr>
          <w:rFonts w:hint="default" w:ascii="Times New Roman" w:hAnsi="Times New Roman" w:eastAsia="宋体" w:cs="Times New Roman"/>
        </w:rPr>
        <w:br w:type="page"/>
      </w:r>
    </w:p>
    <w:p>
      <w:pPr>
        <w:widowControl/>
        <w:spacing w:line="360" w:lineRule="exact"/>
        <w:jc w:val="center"/>
        <w:outlineLvl w:val="1"/>
        <w:rPr>
          <w:rFonts w:hint="default" w:ascii="Times New Roman" w:hAnsi="Times New Roman" w:eastAsia="黑体" w:cs="Times New Roman"/>
          <w:b/>
          <w:bCs/>
          <w:kern w:val="0"/>
          <w:sz w:val="32"/>
          <w:szCs w:val="20"/>
          <w:lang w:val="en-US" w:eastAsia="zh-CN" w:bidi="ar-SA"/>
        </w:rPr>
      </w:pPr>
      <w:bookmarkStart w:id="16" w:name="_Toc18539"/>
      <w:r>
        <w:rPr>
          <w:rFonts w:hint="default" w:ascii="Times New Roman" w:hAnsi="Times New Roman" w:eastAsia="黑体" w:cs="Times New Roman"/>
          <w:b/>
          <w:bCs/>
          <w:kern w:val="0"/>
          <w:sz w:val="32"/>
          <w:szCs w:val="20"/>
          <w:lang w:val="en-US" w:eastAsia="zh-CN" w:bidi="ar-SA"/>
        </w:rPr>
        <w:t>附录</w:t>
      </w:r>
      <w:r>
        <w:rPr>
          <w:rFonts w:hint="eastAsia" w:ascii="Times New Roman" w:hAnsi="Times New Roman" w:eastAsia="黑体" w:cs="Times New Roman"/>
          <w:b/>
          <w:bCs/>
          <w:kern w:val="0"/>
          <w:sz w:val="32"/>
          <w:szCs w:val="20"/>
          <w:lang w:val="en-US" w:eastAsia="zh-CN" w:bidi="ar-SA"/>
        </w:rPr>
        <w:t xml:space="preserve"> </w:t>
      </w:r>
      <w:r>
        <w:rPr>
          <w:rFonts w:hint="default" w:ascii="Times New Roman" w:hAnsi="Times New Roman" w:eastAsia="黑体" w:cs="Times New Roman"/>
          <w:b/>
          <w:bCs/>
          <w:kern w:val="0"/>
          <w:sz w:val="32"/>
          <w:szCs w:val="20"/>
          <w:lang w:val="en-US" w:eastAsia="zh-CN" w:bidi="ar-SA"/>
        </w:rPr>
        <w:t>B</w:t>
      </w:r>
      <w:bookmarkEnd w:id="16"/>
    </w:p>
    <w:p>
      <w:pPr>
        <w:jc w:val="center"/>
        <w:rPr>
          <w:rFonts w:hint="default" w:ascii="Times New Roman" w:hAnsi="Times New Roman" w:cs="Times New Roman"/>
          <w:b/>
          <w:bCs/>
        </w:rPr>
      </w:pPr>
      <w:r>
        <w:rPr>
          <w:rFonts w:hint="default" w:ascii="Times New Roman" w:hAnsi="Times New Roman" w:cs="Times New Roman"/>
          <w:b/>
          <w:bCs/>
        </w:rPr>
        <w:t>（资料性）</w:t>
      </w:r>
    </w:p>
    <w:p>
      <w:pPr>
        <w:jc w:val="center"/>
        <w:rPr>
          <w:rFonts w:hint="default" w:ascii="Times New Roman" w:hAnsi="Times New Roman" w:cs="Times New Roman"/>
          <w:b/>
          <w:bCs/>
        </w:rPr>
      </w:pPr>
      <w:r>
        <w:rPr>
          <w:rFonts w:hint="default" w:ascii="Times New Roman" w:hAnsi="Times New Roman" w:cs="Times New Roman"/>
          <w:b/>
          <w:bCs/>
        </w:rPr>
        <w:t>糖尿病数字化健康干预系统技术运行评价指标计算方法</w:t>
      </w:r>
    </w:p>
    <w:p>
      <w:pPr>
        <w:rPr>
          <w:rFonts w:hint="default" w:ascii="Times New Roman" w:hAnsi="Times New Roman" w:cs="Times New Roman"/>
          <w:b/>
          <w:bCs/>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bCs/>
        </w:rPr>
      </w:pPr>
      <w:r>
        <w:rPr>
          <w:rFonts w:hint="default" w:ascii="Times New Roman" w:hAnsi="Times New Roman" w:eastAsia="宋体" w:cs="Times New Roman"/>
          <w:b/>
          <w:bCs/>
        </w:rPr>
        <w:t>B.1 系统可用性（Availability）</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val="0"/>
          <w:bCs w:val="0"/>
        </w:rPr>
      </w:pPr>
      <w:r>
        <w:rPr>
          <w:rFonts w:hint="default" w:ascii="Times New Roman" w:hAnsi="Times New Roman" w:eastAsia="宋体" w:cs="Times New Roman"/>
          <w:b w:val="0"/>
          <w:bCs w:val="0"/>
        </w:rPr>
        <w:t>计算系统在统计周期内（通常为一年）的在线可用时间比例。</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val="0"/>
          <w:bCs w:val="0"/>
        </w:rPr>
      </w:pPr>
      <w:r>
        <w:rPr>
          <w:rFonts w:hint="default" w:ascii="Times New Roman" w:hAnsi="Times New Roman" w:eastAsia="宋体" w:cs="Times New Roman"/>
          <w:b w:val="0"/>
          <w:bCs w:val="0"/>
        </w:rPr>
        <w:t>计算公式</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val="0"/>
          <w:bCs w:val="0"/>
          <w:lang w:val="en-US" w:eastAsia="zh-CN"/>
        </w:rPr>
      </w:pPr>
      <m:oMathPara>
        <m:oMath>
          <m:r>
            <m:rPr>
              <m:nor/>
            </m:rPr>
            <w:rPr>
              <w:rFonts w:hint="default" w:ascii="Times New Roman" w:hAnsi="Times New Roman" w:eastAsia="宋体" w:cs="Times New Roman"/>
              <w:b w:val="0"/>
              <w:bCs w:val="0"/>
              <w:i/>
            </w:rPr>
            <m:t>A</m:t>
          </m:r>
          <m:r>
            <m:rPr>
              <m:nor/>
              <m:sty m:val="p"/>
            </m:rPr>
            <w:rPr>
              <w:rFonts w:hint="default" w:ascii="Times New Roman" w:hAnsi="Times New Roman" w:eastAsia="宋体" w:cs="Times New Roman"/>
              <w:b w:val="0"/>
              <w:bCs w:val="0"/>
              <w:i w:val="0"/>
            </w:rPr>
            <m:t>=</m:t>
          </m:r>
          <m:f>
            <m:fPr>
              <m:ctrlPr>
                <w:rPr>
                  <w:rFonts w:hint="default" w:ascii="Cambria Math" w:hAnsi="Cambria Math" w:eastAsia="宋体" w:cs="Times New Roman"/>
                  <w:b w:val="0"/>
                  <w:bCs w:val="0"/>
                  <w:i/>
                </w:rPr>
              </m:ctrlPr>
            </m:fPr>
            <m:num>
              <m:sSub>
                <m:sSubPr>
                  <m:ctrlPr>
                    <w:rPr>
                      <w:rFonts w:hint="default" w:ascii="Cambria Math" w:hAnsi="Cambria Math" w:eastAsia="宋体" w:cs="Times New Roman"/>
                      <w:b w:val="0"/>
                      <w:bCs w:val="0"/>
                      <w:i/>
                    </w:rPr>
                  </m:ctrlPr>
                </m:sSubPr>
                <m:e>
                  <m:r>
                    <m:rPr>
                      <m:nor/>
                    </m:rPr>
                    <w:rPr>
                      <w:rFonts w:hint="default" w:ascii="Times New Roman" w:hAnsi="Times New Roman" w:eastAsia="宋体" w:cs="Times New Roman"/>
                      <w:b w:val="0"/>
                      <w:bCs w:val="0"/>
                      <w:i/>
                    </w:rPr>
                    <m:t>T</m:t>
                  </m:r>
                  <m:ctrlPr>
                    <w:rPr>
                      <w:rFonts w:hint="default" w:ascii="Cambria Math" w:hAnsi="Cambria Math" w:eastAsia="宋体" w:cs="Times New Roman"/>
                      <w:b w:val="0"/>
                      <w:bCs w:val="0"/>
                      <w:i/>
                    </w:rPr>
                  </m:ctrlPr>
                </m:e>
                <m:sub>
                  <m:r>
                    <m:rPr>
                      <m:nor/>
                    </m:rPr>
                    <w:rPr>
                      <w:rFonts w:hint="default" w:ascii="Times New Roman" w:hAnsi="Times New Roman" w:eastAsia="宋体" w:cs="Times New Roman"/>
                      <w:b w:val="0"/>
                      <w:bCs w:val="0"/>
                      <w:i/>
                    </w:rPr>
                    <m:t>total</m:t>
                  </m:r>
                  <m:ctrlPr>
                    <w:rPr>
                      <w:rFonts w:hint="default" w:ascii="Cambria Math" w:hAnsi="Cambria Math" w:eastAsia="宋体" w:cs="Times New Roman"/>
                      <w:b w:val="0"/>
                      <w:bCs w:val="0"/>
                      <w:i/>
                    </w:rPr>
                  </m:ctrlPr>
                </m:sub>
              </m:sSub>
              <m:r>
                <m:rPr>
                  <m:nor/>
                  <m:sty m:val="p"/>
                </m:rPr>
                <w:rPr>
                  <w:rFonts w:hint="default" w:ascii="Times New Roman" w:hAnsi="Times New Roman" w:eastAsia="宋体" w:cs="Times New Roman"/>
                  <w:b w:val="0"/>
                  <w:bCs w:val="0"/>
                  <w:i w:val="0"/>
                  <w:lang w:val="en-US" w:eastAsia="zh-CN"/>
                </w:rPr>
                <m:t xml:space="preserve"> </m:t>
              </m:r>
              <m:r>
                <m:rPr>
                  <m:nor/>
                  <m:sty m:val="p"/>
                </m:rPr>
                <w:rPr>
                  <w:rFonts w:hint="default" w:ascii="Times New Roman" w:hAnsi="Times New Roman" w:eastAsia="宋体" w:cs="Times New Roman"/>
                  <w:b w:val="0"/>
                  <w:bCs w:val="0"/>
                  <w:i w:val="0"/>
                </w:rPr>
                <m:t>−</m:t>
              </m:r>
              <m:sSub>
                <m:sSubPr>
                  <m:ctrlPr>
                    <w:rPr>
                      <w:rFonts w:hint="default" w:ascii="Cambria Math" w:hAnsi="Cambria Math" w:eastAsia="宋体" w:cs="Times New Roman"/>
                      <w:b w:val="0"/>
                      <w:bCs w:val="0"/>
                      <w:i/>
                    </w:rPr>
                  </m:ctrlPr>
                </m:sSubPr>
                <m:e>
                  <m:r>
                    <m:rPr>
                      <m:nor/>
                      <m:sty m:val="p"/>
                    </m:rPr>
                    <w:rPr>
                      <w:rFonts w:hint="default" w:ascii="Times New Roman" w:hAnsi="Times New Roman" w:eastAsia="宋体" w:cs="Times New Roman"/>
                      <w:b w:val="0"/>
                      <w:bCs w:val="0"/>
                      <w:i w:val="0"/>
                      <w:lang w:val="en-US" w:eastAsia="zh-CN"/>
                    </w:rPr>
                    <m:t xml:space="preserve"> </m:t>
                  </m:r>
                  <m:r>
                    <m:rPr>
                      <m:nor/>
                    </m:rPr>
                    <w:rPr>
                      <w:rFonts w:hint="default" w:ascii="Times New Roman" w:hAnsi="Times New Roman" w:eastAsia="宋体" w:cs="Times New Roman"/>
                      <w:b w:val="0"/>
                      <w:bCs w:val="0"/>
                      <w:i/>
                    </w:rPr>
                    <m:t>T</m:t>
                  </m:r>
                  <m:ctrlPr>
                    <w:rPr>
                      <w:rFonts w:hint="default" w:ascii="Cambria Math" w:hAnsi="Cambria Math" w:eastAsia="宋体" w:cs="Times New Roman"/>
                      <w:b w:val="0"/>
                      <w:bCs w:val="0"/>
                      <w:i/>
                    </w:rPr>
                  </m:ctrlPr>
                </m:e>
                <m:sub>
                  <m:r>
                    <m:rPr>
                      <m:nor/>
                    </m:rPr>
                    <w:rPr>
                      <w:rFonts w:hint="default" w:ascii="Times New Roman" w:hAnsi="Times New Roman" w:eastAsia="宋体" w:cs="Times New Roman"/>
                      <w:b w:val="0"/>
                      <w:bCs w:val="0"/>
                      <w:i/>
                    </w:rPr>
                    <m:t>downtime</m:t>
                  </m:r>
                  <m:ctrlPr>
                    <w:rPr>
                      <w:rFonts w:hint="default" w:ascii="Cambria Math" w:hAnsi="Cambria Math" w:eastAsia="宋体" w:cs="Times New Roman"/>
                      <w:b w:val="0"/>
                      <w:bCs w:val="0"/>
                      <w:i/>
                    </w:rPr>
                  </m:ctrlPr>
                </m:sub>
              </m:sSub>
              <m:ctrlPr>
                <w:rPr>
                  <w:rFonts w:hint="default" w:ascii="Cambria Math" w:hAnsi="Cambria Math" w:eastAsia="宋体" w:cs="Times New Roman"/>
                  <w:b w:val="0"/>
                  <w:bCs w:val="0"/>
                  <w:i/>
                </w:rPr>
              </m:ctrlPr>
            </m:num>
            <m:den>
              <m:sSub>
                <m:sSubPr>
                  <m:ctrlPr>
                    <w:rPr>
                      <w:rFonts w:hint="default" w:ascii="Cambria Math" w:hAnsi="Cambria Math" w:eastAsia="宋体" w:cs="Times New Roman"/>
                      <w:b w:val="0"/>
                      <w:bCs w:val="0"/>
                      <w:i/>
                    </w:rPr>
                  </m:ctrlPr>
                </m:sSubPr>
                <m:e>
                  <m:r>
                    <m:rPr>
                      <m:nor/>
                    </m:rPr>
                    <w:rPr>
                      <w:rFonts w:hint="default" w:ascii="Times New Roman" w:hAnsi="Times New Roman" w:eastAsia="宋体" w:cs="Times New Roman"/>
                      <w:b w:val="0"/>
                      <w:bCs w:val="0"/>
                      <w:i/>
                      <w:lang w:val="en-US" w:eastAsia="zh-CN"/>
                    </w:rPr>
                    <m:t>T</m:t>
                  </m:r>
                  <m:ctrlPr>
                    <w:rPr>
                      <w:rFonts w:hint="default" w:ascii="Cambria Math" w:hAnsi="Cambria Math" w:eastAsia="宋体" w:cs="Times New Roman"/>
                      <w:b w:val="0"/>
                      <w:bCs w:val="0"/>
                      <w:i/>
                    </w:rPr>
                  </m:ctrlPr>
                </m:e>
                <m:sub>
                  <m:r>
                    <m:rPr>
                      <m:nor/>
                    </m:rPr>
                    <w:rPr>
                      <w:rFonts w:hint="default" w:ascii="Times New Roman" w:hAnsi="Times New Roman" w:eastAsia="宋体" w:cs="Times New Roman"/>
                      <w:b w:val="0"/>
                      <w:bCs w:val="0"/>
                      <w:i/>
                      <w:lang w:val="en-US" w:eastAsia="zh-CN"/>
                    </w:rPr>
                    <m:t>total</m:t>
                  </m:r>
                  <m:ctrlPr>
                    <w:rPr>
                      <w:rFonts w:hint="default" w:ascii="Cambria Math" w:hAnsi="Cambria Math" w:eastAsia="宋体" w:cs="Times New Roman"/>
                      <w:b w:val="0"/>
                      <w:bCs w:val="0"/>
                      <w:i/>
                    </w:rPr>
                  </m:ctrlPr>
                </m:sub>
              </m:sSub>
              <m:ctrlPr>
                <w:rPr>
                  <w:rFonts w:hint="default" w:ascii="Cambria Math" w:hAnsi="Cambria Math" w:eastAsia="宋体" w:cs="Times New Roman"/>
                  <w:b w:val="0"/>
                  <w:bCs w:val="0"/>
                  <w:i/>
                </w:rPr>
              </m:ctrlPr>
            </m:den>
          </m:f>
          <m:r>
            <m:rPr>
              <m:nor/>
              <m:sty m:val="p"/>
            </m:rPr>
            <w:rPr>
              <w:rFonts w:hint="default" w:ascii="Times New Roman" w:hAnsi="Times New Roman" w:eastAsia="宋体" w:cs="Times New Roman"/>
              <w:b w:val="0"/>
              <w:bCs w:val="0"/>
              <w:i w:val="0"/>
            </w:rPr>
            <m:t>×100</m:t>
          </m:r>
          <m:r>
            <m:rPr>
              <m:nor/>
              <m:sty m:val="p"/>
            </m:rPr>
            <w:rPr>
              <w:rFonts w:hint="default" w:ascii="Times New Roman" w:hAnsi="Times New Roman" w:eastAsia="宋体" w:cs="Times New Roman"/>
              <w:b w:val="0"/>
              <w:bCs w:val="0"/>
              <w:i w:val="0"/>
              <w:lang w:val="en-US" w:eastAsia="zh-CN"/>
            </w:rPr>
            <m:t>%</m:t>
          </m:r>
        </m:oMath>
      </m:oMathPara>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val="0"/>
          <w:bCs w:val="0"/>
        </w:rPr>
      </w:pPr>
      <w:r>
        <w:rPr>
          <w:rFonts w:hint="default" w:ascii="Times New Roman" w:hAnsi="Times New Roman" w:eastAsia="宋体" w:cs="Times New Roman"/>
          <w:b w:val="0"/>
          <w:bCs w:val="0"/>
        </w:rPr>
        <w:t>参数说明：</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val="0"/>
          <w:bCs w:val="0"/>
        </w:rPr>
      </w:pPr>
      <w:r>
        <w:rPr>
          <w:rFonts w:hint="default" w:ascii="Times New Roman" w:hAnsi="Times New Roman" w:eastAsia="宋体" w:cs="Times New Roman"/>
          <w:b w:val="0"/>
          <w:bCs w:val="0"/>
        </w:rPr>
        <w:t>A：系统可用性百分比（%）；</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val="0"/>
          <w:bCs w:val="0"/>
        </w:rPr>
      </w:pPr>
      <w:r>
        <w:rPr>
          <w:rFonts w:hint="default" w:ascii="Times New Roman" w:hAnsi="Times New Roman" w:eastAsia="宋体" w:cs="Times New Roman"/>
          <w:b w:val="0"/>
          <w:bCs w:val="0"/>
        </w:rPr>
        <w:t>T</w:t>
      </w:r>
      <w:r>
        <w:rPr>
          <w:rFonts w:hint="default" w:ascii="Times New Roman" w:hAnsi="Times New Roman" w:eastAsia="宋体" w:cs="Times New Roman"/>
          <w:b w:val="0"/>
          <w:bCs w:val="0"/>
          <w:vertAlign w:val="subscript"/>
        </w:rPr>
        <w:t xml:space="preserve"> total</w:t>
      </w:r>
      <w:r>
        <w:rPr>
          <w:rFonts w:hint="default" w:ascii="Times New Roman" w:hAnsi="Times New Roman" w:eastAsia="宋体" w:cs="Times New Roman"/>
          <w:b w:val="0"/>
          <w:bCs w:val="0"/>
        </w:rPr>
        <w:t>：统计周期内的总时间（分钟）；</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val="0"/>
          <w:bCs w:val="0"/>
        </w:rPr>
      </w:pPr>
      <w:r>
        <w:rPr>
          <w:rFonts w:hint="default" w:ascii="Times New Roman" w:hAnsi="Times New Roman" w:eastAsia="宋体" w:cs="Times New Roman"/>
          <w:b w:val="0"/>
          <w:bCs w:val="0"/>
        </w:rPr>
        <w:t xml:space="preserve">T </w:t>
      </w:r>
      <w:r>
        <w:rPr>
          <w:rFonts w:hint="default" w:ascii="Times New Roman" w:hAnsi="Times New Roman" w:eastAsia="宋体" w:cs="Times New Roman"/>
          <w:b w:val="0"/>
          <w:bCs w:val="0"/>
          <w:vertAlign w:val="subscript"/>
        </w:rPr>
        <w:t>downtime</w:t>
      </w:r>
      <w:r>
        <w:rPr>
          <w:rFonts w:hint="default" w:ascii="Times New Roman" w:hAnsi="Times New Roman" w:eastAsia="宋体" w:cs="Times New Roman"/>
          <w:b w:val="0"/>
          <w:bCs w:val="0"/>
        </w:rPr>
        <w:t>：系统因底层崩溃、网络中断、数据库死锁等故障导致的业务不可用累计时间（分钟），计划内停机维护不计入内。</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val="0"/>
          <w:bCs w:val="0"/>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val="0"/>
          <w:bCs w:val="0"/>
        </w:rPr>
      </w:pPr>
      <w:r>
        <w:rPr>
          <w:rFonts w:hint="default" w:ascii="Times New Roman" w:hAnsi="Times New Roman" w:eastAsia="宋体" w:cs="Times New Roman"/>
          <w:b/>
          <w:bCs/>
        </w:rPr>
        <w:t>B.2 物联网数据流结构化入库率（Data Ingestion Rate, DIR）</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val="0"/>
          <w:bCs w:val="0"/>
        </w:rPr>
      </w:pPr>
      <w:r>
        <w:rPr>
          <w:rFonts w:hint="default" w:ascii="Times New Roman" w:hAnsi="Times New Roman" w:eastAsia="宋体" w:cs="Times New Roman"/>
          <w:b w:val="0"/>
          <w:bCs w:val="0"/>
        </w:rPr>
        <w:t>评估系统自感知接入层到数据治理层的高并发清洗和映射效能。</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val="0"/>
          <w:bCs w:val="0"/>
        </w:rPr>
      </w:pPr>
      <w:r>
        <w:rPr>
          <w:rFonts w:hint="default" w:ascii="Times New Roman" w:hAnsi="Times New Roman" w:eastAsia="宋体" w:cs="Times New Roman"/>
          <w:b w:val="0"/>
          <w:bCs w:val="0"/>
        </w:rPr>
        <w:t>计算公式：</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val="0"/>
          <w:bCs w:val="0"/>
        </w:rPr>
      </w:pPr>
      <m:oMathPara>
        <m:oMath>
          <m:r>
            <m:rPr>
              <m:nor/>
              <m:sty m:val="p"/>
            </m:rPr>
            <w:rPr>
              <w:rFonts w:hint="default" w:ascii="Times New Roman" w:hAnsi="Times New Roman" w:eastAsia="宋体" w:cs="Times New Roman"/>
              <w:b w:val="0"/>
              <w:i w:val="0"/>
            </w:rPr>
            <m:t xml:space="preserve">DIR= </m:t>
          </m:r>
          <m:f>
            <m:fPr>
              <m:ctrlPr>
                <w:rPr>
                  <w:rFonts w:hint="default" w:ascii="Cambria Math" w:hAnsi="Cambria Math" w:eastAsia="宋体" w:cs="Times New Roman"/>
                  <w:b w:val="0"/>
                  <w:bCs w:val="0"/>
                </w:rPr>
              </m:ctrlPr>
            </m:fPr>
            <m:num>
              <m:sSub>
                <m:sSubPr>
                  <m:ctrlPr>
                    <w:rPr>
                      <w:rFonts w:hint="default" w:ascii="Cambria Math" w:hAnsi="Cambria Math" w:eastAsia="宋体" w:cs="Times New Roman"/>
                      <w:b w:val="0"/>
                      <w:bCs w:val="0"/>
                    </w:rPr>
                  </m:ctrlPr>
                </m:sSubPr>
                <m:e>
                  <m:r>
                    <m:rPr>
                      <m:nor/>
                      <m:sty m:val="p"/>
                    </m:rPr>
                    <w:rPr>
                      <w:rFonts w:hint="default" w:ascii="Times New Roman" w:hAnsi="Times New Roman" w:eastAsia="宋体" w:cs="Times New Roman"/>
                      <w:b w:val="0"/>
                      <w:i w:val="0"/>
                      <w:lang w:val="en-US" w:eastAsia="zh-CN"/>
                    </w:rPr>
                    <m:t>N</m:t>
                  </m:r>
                  <m:ctrlPr>
                    <w:rPr>
                      <w:rFonts w:hint="default" w:ascii="Cambria Math" w:hAnsi="Cambria Math" w:eastAsia="宋体" w:cs="Times New Roman"/>
                      <w:b w:val="0"/>
                      <w:bCs w:val="0"/>
                    </w:rPr>
                  </m:ctrlPr>
                </m:e>
                <m:sub>
                  <m:r>
                    <m:rPr>
                      <m:nor/>
                      <m:sty m:val="p"/>
                    </m:rPr>
                    <w:rPr>
                      <w:rFonts w:hint="default" w:ascii="Times New Roman" w:hAnsi="Times New Roman" w:eastAsia="宋体" w:cs="Times New Roman"/>
                      <w:b w:val="0"/>
                      <w:i w:val="0"/>
                    </w:rPr>
                    <m:t xml:space="preserve">success </m:t>
                  </m:r>
                  <m:ctrlPr>
                    <w:rPr>
                      <w:rFonts w:hint="default" w:ascii="Cambria Math" w:hAnsi="Cambria Math" w:eastAsia="宋体" w:cs="Times New Roman"/>
                      <w:b w:val="0"/>
                      <w:bCs w:val="0"/>
                    </w:rPr>
                  </m:ctrlPr>
                </m:sub>
              </m:sSub>
              <m:ctrlPr>
                <w:rPr>
                  <w:rFonts w:hint="default" w:ascii="Cambria Math" w:hAnsi="Cambria Math" w:eastAsia="宋体" w:cs="Times New Roman"/>
                  <w:b w:val="0"/>
                  <w:bCs w:val="0"/>
                </w:rPr>
              </m:ctrlPr>
            </m:num>
            <m:den>
              <m:sSub>
                <m:sSubPr>
                  <m:ctrlPr>
                    <w:rPr>
                      <w:rFonts w:hint="default" w:ascii="Cambria Math" w:hAnsi="Cambria Math" w:eastAsia="宋体" w:cs="Times New Roman"/>
                      <w:b w:val="0"/>
                      <w:bCs w:val="0"/>
                    </w:rPr>
                  </m:ctrlPr>
                </m:sSubPr>
                <m:e>
                  <m:r>
                    <m:rPr>
                      <m:nor/>
                      <m:sty m:val="p"/>
                    </m:rPr>
                    <w:rPr>
                      <w:rFonts w:hint="default" w:ascii="Times New Roman" w:hAnsi="Times New Roman" w:eastAsia="宋体" w:cs="Times New Roman"/>
                      <w:b w:val="0"/>
                      <w:i w:val="0"/>
                    </w:rPr>
                    <m:t>N</m:t>
                  </m:r>
                  <m:ctrlPr>
                    <w:rPr>
                      <w:rFonts w:hint="default" w:ascii="Cambria Math" w:hAnsi="Cambria Math" w:eastAsia="宋体" w:cs="Times New Roman"/>
                      <w:b w:val="0"/>
                      <w:bCs w:val="0"/>
                    </w:rPr>
                  </m:ctrlPr>
                </m:e>
                <m:sub>
                  <m:r>
                    <m:rPr>
                      <m:nor/>
                      <m:sty m:val="p"/>
                    </m:rPr>
                    <w:rPr>
                      <w:rFonts w:hint="default" w:ascii="Times New Roman" w:hAnsi="Times New Roman" w:eastAsia="宋体" w:cs="Times New Roman"/>
                      <w:b w:val="0"/>
                      <w:i w:val="0"/>
                    </w:rPr>
                    <m:t>receive</m:t>
                  </m:r>
                  <m:ctrlPr>
                    <w:rPr>
                      <w:rFonts w:hint="default" w:ascii="Cambria Math" w:hAnsi="Cambria Math" w:eastAsia="宋体" w:cs="Times New Roman"/>
                      <w:b w:val="0"/>
                      <w:bCs w:val="0"/>
                    </w:rPr>
                  </m:ctrlPr>
                </m:sub>
              </m:sSub>
              <m:r>
                <m:rPr>
                  <m:nor/>
                  <m:sty m:val="p"/>
                </m:rPr>
                <w:rPr>
                  <w:rFonts w:hint="default" w:ascii="Times New Roman" w:hAnsi="Times New Roman" w:eastAsia="宋体" w:cs="Times New Roman"/>
                  <w:b w:val="0"/>
                  <w:i w:val="0"/>
                  <w:lang w:val="en-US" w:eastAsia="zh-CN"/>
                </w:rPr>
                <m:t>−</m:t>
              </m:r>
              <m:sSub>
                <m:sSubPr>
                  <m:ctrlPr>
                    <w:rPr>
                      <w:rFonts w:hint="default" w:ascii="Cambria Math" w:hAnsi="Cambria Math" w:eastAsia="宋体" w:cs="Times New Roman"/>
                      <w:b w:val="0"/>
                      <w:bCs w:val="0"/>
                      <w:i w:val="0"/>
                      <w:lang w:val="en-US" w:eastAsia="zh-CN"/>
                    </w:rPr>
                  </m:ctrlPr>
                </m:sSubPr>
                <m:e>
                  <m:r>
                    <m:rPr>
                      <m:nor/>
                      <m:sty m:val="p"/>
                    </m:rPr>
                    <w:rPr>
                      <w:rFonts w:hint="default" w:ascii="Times New Roman" w:hAnsi="Times New Roman" w:eastAsia="宋体" w:cs="Times New Roman"/>
                      <w:b w:val="0"/>
                      <w:i w:val="0"/>
                    </w:rPr>
                    <m:t>N</m:t>
                  </m:r>
                  <m:ctrlPr>
                    <w:rPr>
                      <w:rFonts w:hint="default" w:ascii="Cambria Math" w:hAnsi="Cambria Math" w:eastAsia="宋体" w:cs="Times New Roman"/>
                      <w:b w:val="0"/>
                      <w:bCs w:val="0"/>
                      <w:i w:val="0"/>
                      <w:lang w:val="en-US" w:eastAsia="zh-CN"/>
                    </w:rPr>
                  </m:ctrlPr>
                </m:e>
                <m:sub>
                  <m:r>
                    <m:rPr>
                      <m:nor/>
                      <m:sty m:val="p"/>
                    </m:rPr>
                    <w:rPr>
                      <w:rFonts w:hint="default" w:ascii="Times New Roman" w:hAnsi="Times New Roman" w:eastAsia="宋体" w:cs="Times New Roman"/>
                      <w:b w:val="0"/>
                      <w:i w:val="0"/>
                    </w:rPr>
                    <m:t xml:space="preserve">invalid </m:t>
                  </m:r>
                  <m:ctrlPr>
                    <w:rPr>
                      <w:rFonts w:hint="default" w:ascii="Cambria Math" w:hAnsi="Cambria Math" w:eastAsia="宋体" w:cs="Times New Roman"/>
                      <w:b w:val="0"/>
                      <w:bCs w:val="0"/>
                      <w:i w:val="0"/>
                      <w:lang w:val="en-US" w:eastAsia="zh-CN"/>
                    </w:rPr>
                  </m:ctrlPr>
                </m:sub>
              </m:sSub>
              <m:ctrlPr>
                <w:rPr>
                  <w:rFonts w:hint="default" w:ascii="Cambria Math" w:hAnsi="Cambria Math" w:eastAsia="宋体" w:cs="Times New Roman"/>
                  <w:b w:val="0"/>
                  <w:bCs w:val="0"/>
                </w:rPr>
              </m:ctrlPr>
            </m:den>
          </m:f>
          <m:r>
            <m:rPr>
              <m:nor/>
              <m:sty m:val="p"/>
            </m:rPr>
            <w:rPr>
              <w:rFonts w:hint="default" w:ascii="Times New Roman" w:hAnsi="Times New Roman" w:eastAsia="宋体" w:cs="Times New Roman"/>
              <w:b w:val="0"/>
              <w:i w:val="0"/>
            </w:rPr>
            <m:t>×100%</m:t>
          </m:r>
        </m:oMath>
      </m:oMathPara>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val="0"/>
          <w:bCs w:val="0"/>
        </w:rPr>
      </w:pPr>
      <w:r>
        <w:rPr>
          <w:rFonts w:hint="default" w:ascii="Times New Roman" w:hAnsi="Times New Roman" w:eastAsia="宋体" w:cs="Times New Roman"/>
          <w:b w:val="0"/>
          <w:bCs w:val="0"/>
        </w:rPr>
        <w:t>参数说明：</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val="0"/>
          <w:bCs w:val="0"/>
        </w:rPr>
      </w:pPr>
      <w:r>
        <w:rPr>
          <w:rFonts w:hint="default" w:ascii="Times New Roman" w:hAnsi="Times New Roman" w:eastAsia="宋体" w:cs="Times New Roman"/>
          <w:b w:val="0"/>
          <w:bCs w:val="0"/>
        </w:rPr>
        <w:t>DIR：数据流结构化入库率（%）；</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val="0"/>
          <w:bCs w:val="0"/>
        </w:rPr>
      </w:pPr>
      <w:r>
        <w:rPr>
          <w:rFonts w:hint="default" w:ascii="Times New Roman" w:hAnsi="Times New Roman" w:eastAsia="宋体" w:cs="Times New Roman"/>
          <w:b w:val="0"/>
          <w:bCs w:val="0"/>
        </w:rPr>
        <w:t>N receive：系统接入层网关实际接收到的硬件原始数据报文总数（个）；</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val="0"/>
          <w:bCs w:val="0"/>
        </w:rPr>
      </w:pPr>
      <w:r>
        <w:rPr>
          <w:rFonts w:hint="default" w:ascii="Times New Roman" w:hAnsi="Times New Roman" w:eastAsia="宋体" w:cs="Times New Roman"/>
          <w:b w:val="0"/>
          <w:bCs w:val="0"/>
        </w:rPr>
        <w:t>N invalid：经解析判定为设备硬件故障码、协议报文破损等不可读的报文数（个）；</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val="0"/>
          <w:bCs w:val="0"/>
        </w:rPr>
      </w:pPr>
      <w:r>
        <w:rPr>
          <w:rFonts w:hint="default" w:ascii="Times New Roman" w:hAnsi="Times New Roman" w:eastAsia="宋体" w:cs="Times New Roman"/>
          <w:b w:val="0"/>
          <w:bCs w:val="0"/>
        </w:rPr>
        <w:t>N</w:t>
      </w:r>
      <w:r>
        <w:rPr>
          <w:rFonts w:hint="default" w:ascii="Times New Roman" w:hAnsi="Times New Roman" w:eastAsia="宋体" w:cs="Times New Roman"/>
          <w:b w:val="0"/>
          <w:bCs w:val="0"/>
          <w:lang w:val="en-US" w:eastAsia="zh-CN"/>
        </w:rPr>
        <w:t xml:space="preserve"> </w:t>
      </w:r>
      <w:r>
        <w:rPr>
          <w:rFonts w:hint="default" w:ascii="Times New Roman" w:hAnsi="Times New Roman" w:eastAsia="宋体" w:cs="Times New Roman"/>
          <w:b w:val="0"/>
          <w:bCs w:val="0"/>
        </w:rPr>
        <w:t>success：经数据治理层算法清洗、时序对齐并成功写入标准分布式专病数据库的结构化记录总数（个）。</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val="0"/>
          <w:bCs w:val="0"/>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bCs/>
        </w:rPr>
      </w:pPr>
      <w:r>
        <w:rPr>
          <w:rFonts w:hint="default" w:ascii="Times New Roman" w:hAnsi="Times New Roman" w:eastAsia="宋体" w:cs="Times New Roman"/>
          <w:b/>
          <w:bCs/>
        </w:rPr>
        <w:t>B.3 危急值预警系统内部延迟（Internal Alerting Latency, IAL）</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val="0"/>
          <w:bCs w:val="0"/>
        </w:rPr>
      </w:pPr>
      <w:r>
        <w:rPr>
          <w:rFonts w:hint="default" w:ascii="Times New Roman" w:hAnsi="Times New Roman" w:eastAsia="宋体" w:cs="Times New Roman"/>
          <w:b w:val="0"/>
          <w:bCs w:val="0"/>
        </w:rPr>
        <w:t>评估系统流计算引擎对生命安全危急指标的计算分发响应极限。</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val="0"/>
          <w:bCs w:val="0"/>
        </w:rPr>
      </w:pPr>
      <w:r>
        <w:rPr>
          <w:rFonts w:hint="default" w:ascii="Times New Roman" w:hAnsi="Times New Roman" w:eastAsia="宋体" w:cs="Times New Roman"/>
          <w:b w:val="0"/>
          <w:bCs w:val="0"/>
        </w:rPr>
        <w:t>计算公式：</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rPr>
      </w:pPr>
      <m:oMath>
        <m:r>
          <m:rPr>
            <m:nor/>
            <m:sty m:val="p"/>
          </m:rPr>
          <w:rPr>
            <w:rFonts w:hint="default" w:ascii="Times New Roman" w:hAnsi="Times New Roman" w:eastAsia="宋体" w:cs="Times New Roman"/>
            <w:b w:val="0"/>
            <w:i w:val="0"/>
          </w:rPr>
          <m:t>IAL=</m:t>
        </m:r>
        <m:sSub>
          <m:sSubPr>
            <m:ctrlPr>
              <w:rPr>
                <w:rFonts w:hint="default" w:ascii="Cambria Math" w:hAnsi="Cambria Math" w:eastAsia="宋体" w:cs="Times New Roman"/>
                <w:b w:val="0"/>
                <w:bCs w:val="0"/>
              </w:rPr>
            </m:ctrlPr>
          </m:sSubPr>
          <m:e>
            <m:r>
              <m:rPr>
                <m:nor/>
                <m:sty m:val="p"/>
              </m:rPr>
              <w:rPr>
                <w:rFonts w:hint="default" w:ascii="Times New Roman" w:hAnsi="Times New Roman" w:eastAsia="宋体" w:cs="Times New Roman"/>
                <w:b w:val="0"/>
                <w:i w:val="0"/>
              </w:rPr>
              <m:t>t</m:t>
            </m:r>
            <m:ctrlPr>
              <w:rPr>
                <w:rFonts w:hint="default" w:ascii="Cambria Math" w:hAnsi="Cambria Math" w:eastAsia="宋体" w:cs="Times New Roman"/>
                <w:b w:val="0"/>
                <w:bCs w:val="0"/>
              </w:rPr>
            </m:ctrlPr>
          </m:e>
          <m:sub>
            <m:r>
              <m:rPr>
                <m:nor/>
                <m:sty m:val="p"/>
              </m:rPr>
              <w:rPr>
                <w:rFonts w:hint="default" w:ascii="Times New Roman" w:hAnsi="Times New Roman" w:eastAsia="宋体" w:cs="Times New Roman"/>
                <w:b w:val="0"/>
                <w:i w:val="0"/>
              </w:rPr>
              <m:t>alert</m:t>
            </m:r>
            <m:ctrlPr>
              <w:rPr>
                <w:rFonts w:hint="default" w:ascii="Cambria Math" w:hAnsi="Cambria Math" w:eastAsia="宋体" w:cs="Times New Roman"/>
                <w:b w:val="0"/>
                <w:bCs w:val="0"/>
              </w:rPr>
            </m:ctrlPr>
          </m:sub>
        </m:sSub>
      </m:oMath>
      <w:r>
        <w:rPr>
          <w:rFonts w:hint="default" w:ascii="Times New Roman" w:hAnsi="Times New Roman" w:eastAsia="宋体" w:cs="Times New Roman"/>
          <w:b w:val="0"/>
          <w:bCs w:val="0"/>
        </w:rPr>
        <w:t xml:space="preserve"> −t </w:t>
      </w:r>
      <w:r>
        <w:rPr>
          <w:rFonts w:hint="default" w:ascii="Times New Roman" w:hAnsi="Times New Roman" w:eastAsia="宋体" w:cs="Times New Roman"/>
          <w:b w:val="0"/>
          <w:bCs w:val="0"/>
          <w:vertAlign w:val="subscript"/>
        </w:rPr>
        <w:t>arrive</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val="0"/>
          <w:bCs w:val="0"/>
        </w:rPr>
      </w:pPr>
      <w:r>
        <w:rPr>
          <w:rFonts w:hint="default" w:ascii="Times New Roman" w:hAnsi="Times New Roman" w:eastAsia="宋体" w:cs="Times New Roman"/>
          <w:b w:val="0"/>
          <w:bCs w:val="0"/>
        </w:rPr>
        <w:t>参数说明：</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val="0"/>
          <w:bCs w:val="0"/>
        </w:rPr>
      </w:pPr>
      <w:r>
        <w:rPr>
          <w:rFonts w:hint="default" w:ascii="Times New Roman" w:hAnsi="Times New Roman" w:eastAsia="宋体" w:cs="Times New Roman"/>
          <w:b w:val="0"/>
          <w:bCs w:val="0"/>
        </w:rPr>
        <w:t>IAL：系统内部延迟时间（毫秒，ms）；</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val="0"/>
          <w:bCs w:val="0"/>
        </w:rPr>
      </w:pPr>
      <w:r>
        <w:rPr>
          <w:rFonts w:hint="default" w:ascii="Times New Roman" w:hAnsi="Times New Roman" w:eastAsia="宋体" w:cs="Times New Roman"/>
          <w:b w:val="0"/>
          <w:bCs w:val="0"/>
        </w:rPr>
        <w:t>t arrive：触发危急值阈值的核心数据包到达云端统一网关的系统时间戳（精确到毫秒）；</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rPr>
      </w:pPr>
      <w:r>
        <w:rPr>
          <w:rFonts w:hint="default" w:ascii="Times New Roman" w:hAnsi="Times New Roman" w:eastAsia="宋体" w:cs="Times New Roman"/>
          <w:b w:val="0"/>
          <w:bCs w:val="0"/>
        </w:rPr>
        <w:t>t alert：系统流计算引擎完成规则匹配，并成功向外部短信网关或语音电话服务器发出第一条呼叫指令的系统时间戳（精确到毫秒）。</w:t>
      </w:r>
      <w:r>
        <w:rPr>
          <w:rFonts w:hint="default" w:ascii="Times New Roman" w:hAnsi="Times New Roman" w:eastAsia="宋体" w:cs="Times New Roman"/>
        </w:rPr>
        <w:br w:type="page"/>
      </w:r>
    </w:p>
    <w:p>
      <w:pPr>
        <w:pStyle w:val="21"/>
        <w:numPr>
          <w:ilvl w:val="1"/>
          <w:numId w:val="0"/>
        </w:numPr>
        <w:ind w:leftChars="0"/>
        <w:jc w:val="center"/>
        <w:rPr>
          <w:rFonts w:hint="eastAsia" w:ascii="黑体" w:hAnsi="黑体" w:eastAsia="黑体" w:cs="黑体"/>
          <w:b w:val="0"/>
          <w:bCs w:val="0"/>
        </w:rPr>
      </w:pPr>
      <w:bookmarkStart w:id="17" w:name="_Toc7812"/>
      <w:bookmarkStart w:id="18" w:name="_GoBack"/>
      <w:r>
        <w:rPr>
          <w:rFonts w:hint="eastAsia" w:ascii="黑体" w:hAnsi="黑体" w:eastAsia="黑体" w:cs="黑体"/>
          <w:b w:val="0"/>
          <w:bCs w:val="0"/>
        </w:rPr>
        <w:t>参考文献</w:t>
      </w:r>
      <w:bookmarkEnd w:id="17"/>
    </w:p>
    <w:bookmarkEnd w:id="18"/>
    <w:p>
      <w:pPr>
        <w:pStyle w:val="18"/>
        <w:rPr>
          <w:rFonts w:hint="default" w:ascii="Times New Roman" w:hAnsi="Times New Roman" w:cs="Times New Roman"/>
        </w:rPr>
      </w:pPr>
      <w:r>
        <w:rPr>
          <w:rFonts w:hint="default" w:ascii="Times New Roman" w:hAnsi="Times New Roman" w:eastAsia="宋体" w:cs="Times New Roman"/>
        </w:rPr>
        <w:t>[1] 中华医学会糖尿病学分会. 中国2型糖尿病防治指南（2020年版）[J]. 中华糖尿病杂志, 2021, 13(4): 315-409.</w:t>
      </w:r>
    </w:p>
    <w:p>
      <w:pPr>
        <w:pStyle w:val="18"/>
        <w:rPr>
          <w:rFonts w:hint="default" w:ascii="Times New Roman" w:hAnsi="Times New Roman" w:cs="Times New Roman"/>
        </w:rPr>
      </w:pPr>
      <w:r>
        <w:rPr>
          <w:rFonts w:hint="default" w:ascii="Times New Roman" w:hAnsi="Times New Roman" w:eastAsia="宋体" w:cs="Times New Roman"/>
        </w:rPr>
        <w:t>[2] 中华医学会糖尿病学分会, 国家基层糖尿病防治管理办公室. 中国连续葡萄糖监测临床应用指南（2021年版）[J]. 中华糖尿病杂志, 2021, 13(10): 891-900.</w:t>
      </w:r>
    </w:p>
    <w:p>
      <w:pPr>
        <w:pStyle w:val="18"/>
        <w:rPr>
          <w:rFonts w:hint="default" w:ascii="Times New Roman" w:hAnsi="Times New Roman" w:cs="Times New Roman"/>
        </w:rPr>
      </w:pPr>
      <w:r>
        <w:rPr>
          <w:rFonts w:hint="default" w:ascii="Times New Roman" w:hAnsi="Times New Roman" w:eastAsia="宋体" w:cs="Times New Roman"/>
        </w:rPr>
        <w:t>[3] Battelino T, Danne T, Bergenstal RM, Amiel SA, Beck R, Biester T, Bosi E, Buckingham BA, Cefalu WT, Close KL, Cobelli C, Dassau E, DeVries JH, Donaghue KC, Dovc K, Doyle FJ 3rd, Garg S, Grunberger G, Heller S, Heinemann L, Hirsch IB, Hovorka R, Jia W, Kordonouri O, Kovatchev B, Kowalski A, Laffel L, Levine B, Mayorov A, Mathieu C, Murphy HR, Nimri R, Nørgaard K, Parkin CG, Renard E, Rodbard D, Saboo B, Schatz D, Stoner K, Urakami T, Weinzimer SA, Phillip M. Clinical Targets for Continuous Glucose Monitoring Data Interpretation: Recommendations From the International Consensus on Time in Range. Diabetes Care. 2019 Aug;42(8):1593-1603. doi: 10.2337/dci19-0028. Epub 2019 Jun 8. PMID: 31177185; PMCID: PMC6973648.</w:t>
      </w:r>
    </w:p>
    <w:p>
      <w:pPr>
        <w:pStyle w:val="18"/>
        <w:rPr>
          <w:rFonts w:hint="default" w:ascii="Times New Roman" w:hAnsi="Times New Roman" w:cs="Times New Roman"/>
        </w:rPr>
      </w:pPr>
      <w:r>
        <w:rPr>
          <w:rFonts w:hint="default" w:ascii="Times New Roman" w:hAnsi="Times New Roman" w:eastAsia="宋体" w:cs="Times New Roman"/>
        </w:rPr>
        <w:t>[4] American Diabetes Association Professional Practice Committee. 7. Diabetes Technology: Standards of Care in Diabetes—2026[J]. Diabetes Care, 2026, 49(Supplement_1): S150-S165.</w:t>
      </w:r>
    </w:p>
    <w:p>
      <w:pPr>
        <w:pStyle w:val="18"/>
        <w:rPr>
          <w:rFonts w:hint="default" w:ascii="Times New Roman" w:hAnsi="Times New Roman" w:cs="Times New Roman"/>
        </w:rPr>
      </w:pPr>
      <w:r>
        <w:rPr>
          <w:rFonts w:hint="default" w:ascii="Times New Roman" w:hAnsi="Times New Roman" w:eastAsia="宋体" w:cs="Times New Roman"/>
        </w:rPr>
        <w:t>[5] 国家卫生健康委办公厅. 互联网诊疗监管细则（试行）[Z]. 国卫办医发〔2022〕2号, 2022.</w:t>
      </w:r>
    </w:p>
    <w:p>
      <w:pPr>
        <w:pStyle w:val="18"/>
        <w:rPr>
          <w:rFonts w:hint="default" w:ascii="Times New Roman" w:hAnsi="Times New Roman" w:cs="Times New Roman"/>
        </w:rPr>
      </w:pPr>
      <w:r>
        <w:rPr>
          <w:rFonts w:hint="default" w:ascii="Times New Roman" w:hAnsi="Times New Roman" w:eastAsia="宋体" w:cs="Times New Roman"/>
        </w:rPr>
        <w:t>[6] 国家药品监督管理局医疗器械技术审评中心. 医疗器械软件注册审查指导原则（2022年修订版）[Z]. 2022年第9号通告, 2022.</w:t>
      </w:r>
    </w:p>
    <w:p>
      <w:pPr>
        <w:pStyle w:val="18"/>
        <w:rPr>
          <w:rFonts w:hint="default" w:ascii="Times New Roman" w:hAnsi="Times New Roman" w:cs="Times New Roman"/>
        </w:rPr>
      </w:pPr>
      <w:r>
        <w:rPr>
          <w:rFonts w:hint="default" w:ascii="Times New Roman" w:hAnsi="Times New Roman" w:eastAsia="宋体" w:cs="Times New Roman"/>
        </w:rPr>
        <w:t>[7] 国家药品监督管理局医疗器械技术审评中心. 人工智能医疗器械注册审查指导原则[Z]. 2022年第8号通告, 2022.</w:t>
      </w:r>
    </w:p>
    <w:p>
      <w:pPr>
        <w:pStyle w:val="18"/>
        <w:rPr>
          <w:rFonts w:hint="default" w:ascii="Times New Roman" w:hAnsi="Times New Roman" w:cs="Times New Roman"/>
        </w:rPr>
      </w:pPr>
      <w:r>
        <w:rPr>
          <w:rFonts w:hint="default" w:ascii="Times New Roman" w:hAnsi="Times New Roman" w:eastAsia="宋体" w:cs="Times New Roman"/>
        </w:rPr>
        <w:t>[8] 国家药品监督管理局医疗器械技术审评中心. 医疗器械网络安全注册审查指导原则（2022年修订版）[Z]. 2022年第7号通告, 2022.</w:t>
      </w:r>
    </w:p>
    <w:p>
      <w:pPr>
        <w:pStyle w:val="18"/>
        <w:rPr>
          <w:rFonts w:hint="default" w:ascii="Times New Roman" w:hAnsi="Times New Roman" w:eastAsia="宋体" w:cs="Times New Roman"/>
        </w:rPr>
      </w:pPr>
      <w:r>
        <w:rPr>
          <w:rFonts w:hint="default" w:ascii="Times New Roman" w:hAnsi="Times New Roman" w:eastAsia="宋体" w:cs="Times New Roman"/>
        </w:rPr>
        <w:t>[9] ISO/TR 11147:2023. Health informatics — Personalized digital health — Digital therapeutics health software systems[S].</w:t>
      </w:r>
    </w:p>
    <w:p>
      <w:pPr>
        <w:pStyle w:val="18"/>
        <w:rPr>
          <w:rFonts w:hint="default" w:ascii="Times New Roman" w:hAnsi="Times New Roman" w:eastAsia="宋体" w:cs="Times New Roman"/>
        </w:rPr>
      </w:pPr>
      <w:r>
        <w:rPr>
          <w:rFonts w:hint="default" w:ascii="Times New Roman" w:hAnsi="Times New Roman" w:eastAsia="宋体" w:cs="Times New Roman"/>
        </w:rPr>
        <w:t>[</w:t>
      </w:r>
      <w:r>
        <w:rPr>
          <w:rFonts w:hint="eastAsia" w:ascii="Times New Roman" w:hAnsi="Times New Roman" w:cs="Times New Roman"/>
          <w:lang w:val="en-US" w:eastAsia="zh-CN"/>
        </w:rPr>
        <w:t>10</w:t>
      </w:r>
      <w:r>
        <w:rPr>
          <w:rFonts w:hint="default" w:ascii="Times New Roman" w:hAnsi="Times New Roman" w:eastAsia="宋体" w:cs="Times New Roman"/>
        </w:rPr>
        <w:t>] Yu X, Wang Y, Liu Z, Jung E. Technological functionality and system architecture of mobile health interventions for diabetes management: a systematic review and meta-analysis of randomized controlled trials. Front Public Health. 2025 Feb 20;13:1549568. doi: 10.3389/fpubh.2025.1549568. PMID: 40051514; PMCID: PMC11884075.</w:t>
      </w:r>
    </w:p>
    <w:p>
      <w:pPr>
        <w:pStyle w:val="18"/>
        <w:rPr>
          <w:rFonts w:hint="default" w:ascii="Times New Roman" w:hAnsi="Times New Roman" w:cs="Times New Roman"/>
        </w:rPr>
      </w:pPr>
      <w:r>
        <w:rPr>
          <w:rFonts w:hint="default" w:ascii="Times New Roman" w:hAnsi="Times New Roman" w:eastAsia="宋体" w:cs="Times New Roman"/>
        </w:rPr>
        <w:t>[1</w:t>
      </w:r>
      <w:r>
        <w:rPr>
          <w:rFonts w:hint="eastAsia" w:ascii="Times New Roman" w:hAnsi="Times New Roman" w:cs="Times New Roman"/>
          <w:lang w:val="en-US" w:eastAsia="zh-CN"/>
        </w:rPr>
        <w:t>1</w:t>
      </w:r>
      <w:r>
        <w:rPr>
          <w:rFonts w:hint="default" w:ascii="Times New Roman" w:hAnsi="Times New Roman" w:eastAsia="宋体" w:cs="Times New Roman"/>
        </w:rPr>
        <w:t>] ISO 14971:2019. Medical devices — Application of risk management to medical devices[S].</w:t>
      </w:r>
    </w:p>
    <w:p>
      <w:pPr>
        <w:pStyle w:val="18"/>
        <w:rPr>
          <w:rFonts w:hint="default" w:ascii="Times New Roman" w:hAnsi="Times New Roman" w:cs="Times New Roman"/>
        </w:rPr>
      </w:pPr>
      <w:r>
        <w:rPr>
          <w:rFonts w:hint="default" w:ascii="Times New Roman" w:hAnsi="Times New Roman" w:eastAsia="宋体" w:cs="Times New Roman"/>
        </w:rPr>
        <w:t>[1</w:t>
      </w:r>
      <w:r>
        <w:rPr>
          <w:rFonts w:hint="eastAsia" w:ascii="Times New Roman" w:hAnsi="Times New Roman" w:cs="Times New Roman"/>
          <w:lang w:val="en-US" w:eastAsia="zh-CN"/>
        </w:rPr>
        <w:t>2</w:t>
      </w:r>
      <w:r>
        <w:rPr>
          <w:rFonts w:hint="default" w:ascii="Times New Roman" w:hAnsi="Times New Roman" w:eastAsia="宋体" w:cs="Times New Roman"/>
        </w:rPr>
        <w:t>] IEC 81001-5-1:2021. Health software and health IT systems safety, effectiveness and security — Part 5-1: Security — Activities in the product life cycle[S].</w:t>
      </w:r>
    </w:p>
    <w:p>
      <w:pPr>
        <w:pStyle w:val="18"/>
        <w:rPr>
          <w:rFonts w:hint="default" w:ascii="Times New Roman" w:hAnsi="Times New Roman" w:cs="Times New Roman"/>
        </w:rPr>
      </w:pPr>
    </w:p>
    <w:sectPr>
      <w:headerReference r:id="rId9" w:type="default"/>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swiss"/>
    <w:pitch w:val="default"/>
    <w:sig w:usb0="00000000" w:usb1="00000000" w:usb2="00000000" w:usb3="00000000" w:csb0="00040000" w:csb1="00000000"/>
  </w:font>
  <w:font w:name="Cambria Math">
    <w:panose1 w:val="02040503050406030204"/>
    <w:charset w:val="00"/>
    <w:family w:val="auto"/>
    <w:pitch w:val="default"/>
    <w:sig w:usb0="E00006FF" w:usb1="420024FF" w:usb2="02000000" w:usb3="00000000" w:csb0="2000019F"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left" w:pos="11270"/>
      </w:tabs>
      <w:wordWrap w:val="0"/>
      <w:jc w:val="both"/>
      <w:rPr>
        <w:rFonts w:ascii="黑体" w:hAnsi="黑体" w:eastAsia="黑体"/>
        <w:sz w:val="21"/>
        <w:szCs w:val="21"/>
      </w:rPr>
    </w:pPr>
    <w:r>
      <w:rPr>
        <w:rFonts w:ascii="黑体" w:hAnsi="黑体" w:eastAsia="黑体"/>
        <w:sz w:val="21"/>
        <w:szCs w:val="21"/>
      </w:rPr>
      <w:tab/>
    </w:r>
    <w:r>
      <w:rPr>
        <w:rFonts w:ascii="黑体" w:hAnsi="黑体" w:eastAsia="黑体"/>
        <w:sz w:val="21"/>
        <w:szCs w:val="21"/>
      </w:rPr>
      <w:tab/>
    </w:r>
    <w:r>
      <w:rPr>
        <w:rFonts w:ascii="黑体" w:hAnsi="黑体" w:eastAsia="黑体"/>
        <w:sz w:val="21"/>
        <w:szCs w:val="21"/>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91163"/>
    <w:multiLevelType w:val="multilevel"/>
    <w:tmpl w:val="1FC91163"/>
    <w:lvl w:ilvl="0" w:tentative="0">
      <w:start w:val="1"/>
      <w:numFmt w:val="decimal"/>
      <w:pStyle w:val="27"/>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suff w:val="nothing"/>
      <w:lvlText w:val="%1.%2.%3　"/>
      <w:lvlJc w:val="left"/>
      <w:pPr>
        <w:ind w:left="284"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40A24E35"/>
    <w:multiLevelType w:val="multilevel"/>
    <w:tmpl w:val="40A24E35"/>
    <w:lvl w:ilvl="0" w:tentative="0">
      <w:start w:val="1"/>
      <w:numFmt w:val="chineseCounting"/>
      <w:pStyle w:val="2"/>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6CEA2025"/>
    <w:multiLevelType w:val="multilevel"/>
    <w:tmpl w:val="6CEA2025"/>
    <w:lvl w:ilvl="0" w:tentative="0">
      <w:start w:val="1"/>
      <w:numFmt w:val="none"/>
      <w:pStyle w:val="20"/>
      <w:suff w:val="nothing"/>
      <w:lvlText w:val="%1"/>
      <w:lvlJc w:val="left"/>
      <w:pPr>
        <w:ind w:left="0" w:firstLine="0"/>
      </w:pPr>
      <w:rPr>
        <w:rFonts w:hint="default" w:ascii="Times New Roman" w:hAnsi="Times New Roman"/>
        <w:b/>
        <w:i w:val="0"/>
        <w:sz w:val="21"/>
      </w:rPr>
    </w:lvl>
    <w:lvl w:ilvl="1" w:tentative="0">
      <w:start w:val="1"/>
      <w:numFmt w:val="decimal"/>
      <w:pStyle w:val="21"/>
      <w:suff w:val="nothing"/>
      <w:lvlText w:val="%1%2　"/>
      <w:lvlJc w:val="left"/>
      <w:pPr>
        <w:ind w:left="360" w:firstLine="0"/>
      </w:pPr>
      <w:rPr>
        <w:rFonts w:hint="default" w:ascii="黑体" w:hAnsi="Times New Roman" w:eastAsia="黑体"/>
        <w:b w:val="0"/>
        <w:i w:val="0"/>
        <w:color w:val="auto"/>
        <w:sz w:val="21"/>
      </w:rPr>
    </w:lvl>
    <w:lvl w:ilvl="2" w:tentative="0">
      <w:start w:val="1"/>
      <w:numFmt w:val="decimal"/>
      <w:pStyle w:val="17"/>
      <w:suff w:val="nothing"/>
      <w:lvlText w:val="%1%2.%3　"/>
      <w:lvlJc w:val="left"/>
      <w:pPr>
        <w:ind w:left="0" w:firstLine="0"/>
      </w:pPr>
      <w:rPr>
        <w:rFonts w:hint="eastAsia" w:ascii="黑体" w:hAnsi="Times New Roman" w:eastAsia="黑体"/>
        <w:b w:val="0"/>
        <w:i w:val="0"/>
        <w:sz w:val="21"/>
      </w:rPr>
    </w:lvl>
    <w:lvl w:ilvl="3" w:tentative="0">
      <w:start w:val="1"/>
      <w:numFmt w:val="decimal"/>
      <w:pStyle w:val="22"/>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54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hNzY0ZDkyN2IyZmI1YWM4NDI0YzMxNTczYjkxOGYifQ=="/>
  </w:docVars>
  <w:rsids>
    <w:rsidRoot w:val="00BC7831"/>
    <w:rsid w:val="00016417"/>
    <w:rsid w:val="00051519"/>
    <w:rsid w:val="00053659"/>
    <w:rsid w:val="00060D8E"/>
    <w:rsid w:val="00080D52"/>
    <w:rsid w:val="000C29F0"/>
    <w:rsid w:val="000F1177"/>
    <w:rsid w:val="000F1329"/>
    <w:rsid w:val="000F3546"/>
    <w:rsid w:val="00101828"/>
    <w:rsid w:val="001057F7"/>
    <w:rsid w:val="001074B6"/>
    <w:rsid w:val="0011064A"/>
    <w:rsid w:val="00110943"/>
    <w:rsid w:val="00112E5C"/>
    <w:rsid w:val="00160984"/>
    <w:rsid w:val="00165E1D"/>
    <w:rsid w:val="00184727"/>
    <w:rsid w:val="00195740"/>
    <w:rsid w:val="00195EBA"/>
    <w:rsid w:val="001A33E4"/>
    <w:rsid w:val="001C487F"/>
    <w:rsid w:val="001C5DF8"/>
    <w:rsid w:val="001E3CBE"/>
    <w:rsid w:val="00210EDC"/>
    <w:rsid w:val="00226F03"/>
    <w:rsid w:val="00240ECC"/>
    <w:rsid w:val="002568DB"/>
    <w:rsid w:val="002A3D14"/>
    <w:rsid w:val="002A716C"/>
    <w:rsid w:val="002D1620"/>
    <w:rsid w:val="002E27BA"/>
    <w:rsid w:val="002F33B1"/>
    <w:rsid w:val="0034011E"/>
    <w:rsid w:val="003B4F8D"/>
    <w:rsid w:val="00413F82"/>
    <w:rsid w:val="00435258"/>
    <w:rsid w:val="0043594C"/>
    <w:rsid w:val="00437239"/>
    <w:rsid w:val="004415F3"/>
    <w:rsid w:val="00467DE9"/>
    <w:rsid w:val="00514F56"/>
    <w:rsid w:val="0056475B"/>
    <w:rsid w:val="005675F6"/>
    <w:rsid w:val="005A4262"/>
    <w:rsid w:val="005B63FD"/>
    <w:rsid w:val="005C4D5C"/>
    <w:rsid w:val="005D718A"/>
    <w:rsid w:val="005E4503"/>
    <w:rsid w:val="005F249D"/>
    <w:rsid w:val="005F72FB"/>
    <w:rsid w:val="00664A03"/>
    <w:rsid w:val="00670459"/>
    <w:rsid w:val="00673E36"/>
    <w:rsid w:val="00674D46"/>
    <w:rsid w:val="0068444E"/>
    <w:rsid w:val="00687204"/>
    <w:rsid w:val="00692CC5"/>
    <w:rsid w:val="006E4104"/>
    <w:rsid w:val="006E78C3"/>
    <w:rsid w:val="00754AD5"/>
    <w:rsid w:val="007558D6"/>
    <w:rsid w:val="007A732B"/>
    <w:rsid w:val="007C7383"/>
    <w:rsid w:val="007D24E9"/>
    <w:rsid w:val="00826483"/>
    <w:rsid w:val="00862A07"/>
    <w:rsid w:val="008B1166"/>
    <w:rsid w:val="008D309F"/>
    <w:rsid w:val="008F7435"/>
    <w:rsid w:val="00931243"/>
    <w:rsid w:val="009401B9"/>
    <w:rsid w:val="00970892"/>
    <w:rsid w:val="009807BE"/>
    <w:rsid w:val="00981EAB"/>
    <w:rsid w:val="00984ED3"/>
    <w:rsid w:val="00990F61"/>
    <w:rsid w:val="009C6235"/>
    <w:rsid w:val="00A14AD3"/>
    <w:rsid w:val="00A93EB2"/>
    <w:rsid w:val="00AB3E24"/>
    <w:rsid w:val="00AC469E"/>
    <w:rsid w:val="00AF4FBC"/>
    <w:rsid w:val="00B100E3"/>
    <w:rsid w:val="00B530B7"/>
    <w:rsid w:val="00B5365B"/>
    <w:rsid w:val="00B573EC"/>
    <w:rsid w:val="00BB49F7"/>
    <w:rsid w:val="00BC7831"/>
    <w:rsid w:val="00C31CF7"/>
    <w:rsid w:val="00C553DB"/>
    <w:rsid w:val="00C86BEC"/>
    <w:rsid w:val="00CA373C"/>
    <w:rsid w:val="00D62642"/>
    <w:rsid w:val="00D70986"/>
    <w:rsid w:val="00DA744C"/>
    <w:rsid w:val="00DE1D6D"/>
    <w:rsid w:val="00E463FE"/>
    <w:rsid w:val="00E60530"/>
    <w:rsid w:val="00E86133"/>
    <w:rsid w:val="00E91C18"/>
    <w:rsid w:val="00EB2E65"/>
    <w:rsid w:val="00EC75D4"/>
    <w:rsid w:val="00EF27E0"/>
    <w:rsid w:val="00F024E8"/>
    <w:rsid w:val="00F10A24"/>
    <w:rsid w:val="00F27B39"/>
    <w:rsid w:val="00F51C34"/>
    <w:rsid w:val="00F948F3"/>
    <w:rsid w:val="00FD0652"/>
    <w:rsid w:val="00FD741A"/>
    <w:rsid w:val="01F36FCC"/>
    <w:rsid w:val="02062B27"/>
    <w:rsid w:val="021567F9"/>
    <w:rsid w:val="0225011E"/>
    <w:rsid w:val="0227136C"/>
    <w:rsid w:val="02A56E89"/>
    <w:rsid w:val="03D15045"/>
    <w:rsid w:val="045A77D7"/>
    <w:rsid w:val="04B50EB1"/>
    <w:rsid w:val="0557205A"/>
    <w:rsid w:val="06110369"/>
    <w:rsid w:val="061B0C12"/>
    <w:rsid w:val="078B7CA7"/>
    <w:rsid w:val="08190FC5"/>
    <w:rsid w:val="083A7DA5"/>
    <w:rsid w:val="08D12032"/>
    <w:rsid w:val="08EC0C19"/>
    <w:rsid w:val="091B525A"/>
    <w:rsid w:val="09420839"/>
    <w:rsid w:val="0B1F52D6"/>
    <w:rsid w:val="0B223B98"/>
    <w:rsid w:val="0D8F1E27"/>
    <w:rsid w:val="0E2A204D"/>
    <w:rsid w:val="0E5F3091"/>
    <w:rsid w:val="0EA0266E"/>
    <w:rsid w:val="0F017011"/>
    <w:rsid w:val="0F577B28"/>
    <w:rsid w:val="0FD516DA"/>
    <w:rsid w:val="10741C20"/>
    <w:rsid w:val="11E365EE"/>
    <w:rsid w:val="12293277"/>
    <w:rsid w:val="123C1E30"/>
    <w:rsid w:val="12A771A7"/>
    <w:rsid w:val="12AA7B7B"/>
    <w:rsid w:val="13783CA1"/>
    <w:rsid w:val="14C73674"/>
    <w:rsid w:val="15D47313"/>
    <w:rsid w:val="15D849FF"/>
    <w:rsid w:val="15FD4466"/>
    <w:rsid w:val="165A3666"/>
    <w:rsid w:val="16E52D9F"/>
    <w:rsid w:val="172B6DB1"/>
    <w:rsid w:val="17471E3D"/>
    <w:rsid w:val="18BA4EFB"/>
    <w:rsid w:val="18DF6862"/>
    <w:rsid w:val="19D90D46"/>
    <w:rsid w:val="1A004AF6"/>
    <w:rsid w:val="1A847E25"/>
    <w:rsid w:val="1B0424DF"/>
    <w:rsid w:val="1B18764C"/>
    <w:rsid w:val="1BDB0DA5"/>
    <w:rsid w:val="1C5046FF"/>
    <w:rsid w:val="1C646FED"/>
    <w:rsid w:val="1CAF2AF3"/>
    <w:rsid w:val="1CC7757C"/>
    <w:rsid w:val="1D1A3B4F"/>
    <w:rsid w:val="1E5A5A62"/>
    <w:rsid w:val="1E5F205E"/>
    <w:rsid w:val="1E965458"/>
    <w:rsid w:val="1EBC25FB"/>
    <w:rsid w:val="1EFA3E56"/>
    <w:rsid w:val="1F103EA4"/>
    <w:rsid w:val="20214290"/>
    <w:rsid w:val="20D96F19"/>
    <w:rsid w:val="20F55779"/>
    <w:rsid w:val="21372D0F"/>
    <w:rsid w:val="22216460"/>
    <w:rsid w:val="22985B55"/>
    <w:rsid w:val="22A26A85"/>
    <w:rsid w:val="22D94639"/>
    <w:rsid w:val="23F6158E"/>
    <w:rsid w:val="24EC1FBD"/>
    <w:rsid w:val="2623053C"/>
    <w:rsid w:val="270F3FF9"/>
    <w:rsid w:val="277B57A8"/>
    <w:rsid w:val="27BB6175"/>
    <w:rsid w:val="27E606F5"/>
    <w:rsid w:val="282166CE"/>
    <w:rsid w:val="290F75E7"/>
    <w:rsid w:val="29BF3448"/>
    <w:rsid w:val="29F64FFC"/>
    <w:rsid w:val="2B444A4F"/>
    <w:rsid w:val="2B96500B"/>
    <w:rsid w:val="2BC2163A"/>
    <w:rsid w:val="2BDE46D5"/>
    <w:rsid w:val="2BFD5910"/>
    <w:rsid w:val="2C2053A7"/>
    <w:rsid w:val="2C63311C"/>
    <w:rsid w:val="2D1063D5"/>
    <w:rsid w:val="2D675FF9"/>
    <w:rsid w:val="2D9F73D7"/>
    <w:rsid w:val="2DE65587"/>
    <w:rsid w:val="2DF14458"/>
    <w:rsid w:val="2E192AA0"/>
    <w:rsid w:val="2EA65243"/>
    <w:rsid w:val="3008145A"/>
    <w:rsid w:val="300D4E4E"/>
    <w:rsid w:val="30C61BCC"/>
    <w:rsid w:val="30E16A06"/>
    <w:rsid w:val="31A014D2"/>
    <w:rsid w:val="31F31444"/>
    <w:rsid w:val="324C7EAF"/>
    <w:rsid w:val="32963A97"/>
    <w:rsid w:val="33770F5C"/>
    <w:rsid w:val="340A6274"/>
    <w:rsid w:val="343E5D94"/>
    <w:rsid w:val="34401B48"/>
    <w:rsid w:val="34DD74E5"/>
    <w:rsid w:val="355B66C9"/>
    <w:rsid w:val="364B2EA2"/>
    <w:rsid w:val="382F74C6"/>
    <w:rsid w:val="38710670"/>
    <w:rsid w:val="39ED01CA"/>
    <w:rsid w:val="3B402711"/>
    <w:rsid w:val="3BEB75DB"/>
    <w:rsid w:val="3C7050E2"/>
    <w:rsid w:val="3C776471"/>
    <w:rsid w:val="3C8D6DE4"/>
    <w:rsid w:val="3DB334D8"/>
    <w:rsid w:val="3DCE20C0"/>
    <w:rsid w:val="3E495BEB"/>
    <w:rsid w:val="3EEC6CA2"/>
    <w:rsid w:val="3F235660"/>
    <w:rsid w:val="410B2946"/>
    <w:rsid w:val="42325426"/>
    <w:rsid w:val="42E32C50"/>
    <w:rsid w:val="44240E0B"/>
    <w:rsid w:val="454257B0"/>
    <w:rsid w:val="458A0FC3"/>
    <w:rsid w:val="45D109A0"/>
    <w:rsid w:val="478D08F6"/>
    <w:rsid w:val="47A3011A"/>
    <w:rsid w:val="47B24801"/>
    <w:rsid w:val="47B83B92"/>
    <w:rsid w:val="48877A3B"/>
    <w:rsid w:val="48CD485D"/>
    <w:rsid w:val="490E5A67"/>
    <w:rsid w:val="493D6E04"/>
    <w:rsid w:val="4C1C493F"/>
    <w:rsid w:val="4E121B55"/>
    <w:rsid w:val="4E421FD1"/>
    <w:rsid w:val="4F7A1C1A"/>
    <w:rsid w:val="517C4204"/>
    <w:rsid w:val="529A65BD"/>
    <w:rsid w:val="52FB52AE"/>
    <w:rsid w:val="539E4FD0"/>
    <w:rsid w:val="53E775E0"/>
    <w:rsid w:val="546142C1"/>
    <w:rsid w:val="54994852"/>
    <w:rsid w:val="54F21CA7"/>
    <w:rsid w:val="55CD48F6"/>
    <w:rsid w:val="5668147B"/>
    <w:rsid w:val="5697055A"/>
    <w:rsid w:val="569808EE"/>
    <w:rsid w:val="57075960"/>
    <w:rsid w:val="5774428A"/>
    <w:rsid w:val="58551A99"/>
    <w:rsid w:val="58DD11B1"/>
    <w:rsid w:val="58FC3B2E"/>
    <w:rsid w:val="59C36FD2"/>
    <w:rsid w:val="5AAF0660"/>
    <w:rsid w:val="5B3F7F01"/>
    <w:rsid w:val="5DA550B9"/>
    <w:rsid w:val="5DB524FD"/>
    <w:rsid w:val="5E0702BA"/>
    <w:rsid w:val="5F1D424A"/>
    <w:rsid w:val="5F5024DD"/>
    <w:rsid w:val="5FDFB8DB"/>
    <w:rsid w:val="5FF26F63"/>
    <w:rsid w:val="609A0870"/>
    <w:rsid w:val="616249C2"/>
    <w:rsid w:val="621C0D9D"/>
    <w:rsid w:val="62441767"/>
    <w:rsid w:val="626A3683"/>
    <w:rsid w:val="62F57A1F"/>
    <w:rsid w:val="63021D41"/>
    <w:rsid w:val="63251BB8"/>
    <w:rsid w:val="663D1DCA"/>
    <w:rsid w:val="66B772E6"/>
    <w:rsid w:val="672D3C75"/>
    <w:rsid w:val="695100E3"/>
    <w:rsid w:val="69E77EE2"/>
    <w:rsid w:val="6A774588"/>
    <w:rsid w:val="6A9516EC"/>
    <w:rsid w:val="6AB37D1A"/>
    <w:rsid w:val="6B7951A8"/>
    <w:rsid w:val="6C3210B3"/>
    <w:rsid w:val="6C3D028D"/>
    <w:rsid w:val="6D2C1F72"/>
    <w:rsid w:val="6E201C15"/>
    <w:rsid w:val="6F7C4695"/>
    <w:rsid w:val="6F846E05"/>
    <w:rsid w:val="70D50A94"/>
    <w:rsid w:val="715C325B"/>
    <w:rsid w:val="71CF4FD5"/>
    <w:rsid w:val="729A5612"/>
    <w:rsid w:val="73137D7F"/>
    <w:rsid w:val="735743F6"/>
    <w:rsid w:val="738022BD"/>
    <w:rsid w:val="744E128A"/>
    <w:rsid w:val="7455768C"/>
    <w:rsid w:val="74A0585D"/>
    <w:rsid w:val="74AA17DD"/>
    <w:rsid w:val="74D07EF1"/>
    <w:rsid w:val="75370D7D"/>
    <w:rsid w:val="75D85CD4"/>
    <w:rsid w:val="76B209DC"/>
    <w:rsid w:val="76BD6E14"/>
    <w:rsid w:val="78762B5D"/>
    <w:rsid w:val="7883527A"/>
    <w:rsid w:val="78AF606F"/>
    <w:rsid w:val="78B11AA3"/>
    <w:rsid w:val="78C244A2"/>
    <w:rsid w:val="79246F07"/>
    <w:rsid w:val="79697AC4"/>
    <w:rsid w:val="7AA038E9"/>
    <w:rsid w:val="7AA51E44"/>
    <w:rsid w:val="7ACF47A6"/>
    <w:rsid w:val="7B0452DC"/>
    <w:rsid w:val="7B2FE0FA"/>
    <w:rsid w:val="7B344564"/>
    <w:rsid w:val="7B971737"/>
    <w:rsid w:val="7BD52290"/>
    <w:rsid w:val="7DC861E9"/>
    <w:rsid w:val="7E002B4E"/>
    <w:rsid w:val="7E562072"/>
    <w:rsid w:val="7F415375"/>
    <w:rsid w:val="DDA744D4"/>
    <w:rsid w:val="FFEEBC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numPr>
        <w:ilvl w:val="0"/>
        <w:numId w:val="1"/>
      </w:numPr>
      <w:spacing w:before="320" w:after="160"/>
      <w:outlineLvl w:val="0"/>
    </w:pPr>
    <w:rPr>
      <w:rFonts w:asciiTheme="majorAscii" w:hAnsiTheme="majorAscii" w:eastAsiaTheme="majorEastAsia" w:cstheme="majorBidi"/>
      <w:b/>
      <w:bCs/>
      <w:color w:val="000000"/>
      <w:sz w:val="28"/>
      <w:szCs w:val="28"/>
      <w:lang w:eastAsia="en-US"/>
    </w:rPr>
  </w:style>
  <w:style w:type="paragraph" w:styleId="3">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4">
    <w:name w:val="caption"/>
    <w:basedOn w:val="1"/>
    <w:next w:val="1"/>
    <w:unhideWhenUsed/>
    <w:qFormat/>
    <w:uiPriority w:val="35"/>
    <w:rPr>
      <w:rFonts w:ascii="Arial" w:hAnsi="Arial" w:eastAsia="黑体"/>
      <w:sz w:val="20"/>
    </w:rPr>
  </w:style>
  <w:style w:type="paragraph" w:styleId="5">
    <w:name w:val="annotation text"/>
    <w:basedOn w:val="1"/>
    <w:semiHidden/>
    <w:unhideWhenUsed/>
    <w:qFormat/>
    <w:uiPriority w:val="99"/>
    <w:pPr>
      <w:jc w:val="left"/>
    </w:pPr>
  </w:style>
  <w:style w:type="paragraph" w:styleId="6">
    <w:name w:val="Body Text 3"/>
    <w:basedOn w:val="1"/>
    <w:link w:val="24"/>
    <w:qFormat/>
    <w:uiPriority w:val="0"/>
    <w:pPr>
      <w:widowControl/>
    </w:pPr>
    <w:rPr>
      <w:rFonts w:ascii="Times New Roman" w:hAnsi="Times New Roman" w:eastAsia="仿宋_GB2312" w:cs="Times New Roman"/>
      <w:kern w:val="0"/>
      <w:sz w:val="28"/>
      <w:szCs w:val="20"/>
    </w:rPr>
  </w:style>
  <w:style w:type="paragraph" w:styleId="7">
    <w:name w:val="Balloon Text"/>
    <w:basedOn w:val="1"/>
    <w:link w:val="33"/>
    <w:semiHidden/>
    <w:unhideWhenUsed/>
    <w:qFormat/>
    <w:uiPriority w:val="99"/>
    <w:rPr>
      <w:sz w:val="18"/>
      <w:szCs w:val="18"/>
    </w:rPr>
  </w:style>
  <w:style w:type="paragraph" w:styleId="8">
    <w:name w:val="footer"/>
    <w:basedOn w:val="1"/>
    <w:link w:val="30"/>
    <w:unhideWhenUsed/>
    <w:qFormat/>
    <w:uiPriority w:val="99"/>
    <w:pPr>
      <w:tabs>
        <w:tab w:val="center" w:pos="4153"/>
        <w:tab w:val="right" w:pos="8306"/>
      </w:tabs>
      <w:snapToGrid w:val="0"/>
      <w:jc w:val="left"/>
    </w:pPr>
    <w:rPr>
      <w:sz w:val="18"/>
      <w:szCs w:val="18"/>
    </w:rPr>
  </w:style>
  <w:style w:type="paragraph" w:styleId="9">
    <w:name w:val="header"/>
    <w:basedOn w:val="1"/>
    <w:link w:val="29"/>
    <w:qFormat/>
    <w:uiPriority w:val="99"/>
    <w:pPr>
      <w:tabs>
        <w:tab w:val="center" w:pos="4153"/>
        <w:tab w:val="right" w:pos="8306"/>
      </w:tabs>
      <w:snapToGrid w:val="0"/>
      <w:jc w:val="center"/>
    </w:pPr>
    <w:rPr>
      <w:rFonts w:ascii="Times New Roman" w:hAnsi="Times New Roman" w:eastAsia="宋体" w:cs="Times New Roman"/>
      <w:sz w:val="18"/>
      <w:szCs w:val="18"/>
    </w:rPr>
  </w:style>
  <w:style w:type="paragraph" w:styleId="10">
    <w:name w:val="toc 1"/>
    <w:next w:val="1"/>
    <w:qFormat/>
    <w:uiPriority w:val="39"/>
    <w:pPr>
      <w:widowControl w:val="0"/>
      <w:spacing w:before="240" w:after="120"/>
    </w:pPr>
    <w:rPr>
      <w:rFonts w:ascii="等线" w:hAnsi="Times New Roman" w:eastAsia="等线" w:cs="Times New Roman"/>
      <w:b/>
      <w:bCs/>
      <w:kern w:val="2"/>
      <w:sz w:val="20"/>
      <w:szCs w:val="20"/>
      <w:lang w:val="en-US" w:eastAsia="zh-CN" w:bidi="ar-SA"/>
    </w:rPr>
  </w:style>
  <w:style w:type="paragraph" w:styleId="11">
    <w:name w:val="toc 2"/>
    <w:basedOn w:val="1"/>
    <w:next w:val="1"/>
    <w:semiHidden/>
    <w:unhideWhenUsed/>
    <w:qFormat/>
    <w:uiPriority w:val="39"/>
    <w:pPr>
      <w:ind w:left="420" w:leftChars="200"/>
    </w:p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4">
    <w:name w:val="Hyperlink"/>
    <w:basedOn w:val="13"/>
    <w:unhideWhenUsed/>
    <w:qFormat/>
    <w:uiPriority w:val="99"/>
    <w:rPr>
      <w:color w:val="0000FF" w:themeColor="hyperlink"/>
      <w:u w:val="single"/>
      <w14:textFill>
        <w14:solidFill>
          <w14:schemeClr w14:val="hlink"/>
        </w14:solidFill>
      </w14:textFill>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
    <w:name w:val="一级条标题"/>
    <w:next w:val="18"/>
    <w:link w:val="19"/>
    <w:qFormat/>
    <w:uiPriority w:val="0"/>
    <w:pPr>
      <w:numPr>
        <w:ilvl w:val="2"/>
        <w:numId w:val="2"/>
      </w:numPr>
      <w:bidi w:val="0"/>
      <w:spacing w:before="50" w:beforeLines="50" w:after="50" w:afterLines="50"/>
      <w:ind w:left="0" w:leftChars="0" w:firstLine="0" w:firstLineChars="0"/>
      <w:outlineLvl w:val="2"/>
    </w:pPr>
    <w:rPr>
      <w:rFonts w:ascii="宋体" w:hAnsi="宋体" w:eastAsia="黑体" w:cstheme="minorBidi"/>
      <w:kern w:val="2"/>
      <w:sz w:val="21"/>
      <w:szCs w:val="22"/>
      <w:lang w:val="en-US" w:eastAsia="zh-CN" w:bidi="ar-SA"/>
    </w:rPr>
  </w:style>
  <w:style w:type="paragraph" w:customStyle="1" w:styleId="18">
    <w:name w:val="段"/>
    <w:link w:val="38"/>
    <w:qFormat/>
    <w:uiPriority w:val="0"/>
    <w:pPr>
      <w:autoSpaceDE w:val="0"/>
      <w:autoSpaceDN w:val="0"/>
      <w:spacing w:line="360" w:lineRule="exact"/>
      <w:ind w:firstLine="200" w:firstLineChars="200"/>
      <w:jc w:val="both"/>
    </w:pPr>
    <w:rPr>
      <w:rFonts w:ascii="宋体" w:hAnsi="宋体" w:eastAsia="宋体" w:cs="Times New Roman"/>
      <w:kern w:val="0"/>
      <w:sz w:val="21"/>
      <w:szCs w:val="20"/>
      <w:lang w:val="en-US" w:eastAsia="zh-CN" w:bidi="ar-SA"/>
    </w:rPr>
  </w:style>
  <w:style w:type="character" w:customStyle="1" w:styleId="19">
    <w:name w:val="一级条标题 Char"/>
    <w:link w:val="17"/>
    <w:qFormat/>
    <w:uiPriority w:val="0"/>
    <w:rPr>
      <w:rFonts w:ascii="宋体" w:hAnsi="宋体" w:eastAsia="黑体" w:cstheme="minorBidi"/>
      <w:kern w:val="2"/>
      <w:sz w:val="21"/>
      <w:szCs w:val="22"/>
      <w:lang w:val="en-US" w:eastAsia="zh-CN" w:bidi="ar-SA"/>
    </w:rPr>
  </w:style>
  <w:style w:type="paragraph" w:customStyle="1" w:styleId="20">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kern w:val="0"/>
      <w:sz w:val="32"/>
      <w:szCs w:val="20"/>
      <w:lang w:val="en-US" w:eastAsia="zh-CN" w:bidi="ar-SA"/>
    </w:rPr>
  </w:style>
  <w:style w:type="paragraph" w:customStyle="1" w:styleId="21">
    <w:name w:val="章标题"/>
    <w:next w:val="18"/>
    <w:link w:val="23"/>
    <w:qFormat/>
    <w:uiPriority w:val="0"/>
    <w:pPr>
      <w:numPr>
        <w:ilvl w:val="1"/>
        <w:numId w:val="2"/>
      </w:numPr>
      <w:spacing w:before="100" w:beforeLines="100" w:after="100" w:afterLines="100"/>
      <w:ind w:left="0"/>
      <w:jc w:val="both"/>
      <w:outlineLvl w:val="1"/>
    </w:pPr>
    <w:rPr>
      <w:rFonts w:ascii="黑体" w:hAnsi="黑体" w:eastAsia="黑体" w:cstheme="minorBidi"/>
      <w:kern w:val="2"/>
      <w:sz w:val="21"/>
      <w:szCs w:val="22"/>
      <w:lang w:val="en-US" w:eastAsia="zh-CN" w:bidi="ar-SA"/>
    </w:rPr>
  </w:style>
  <w:style w:type="paragraph" w:customStyle="1" w:styleId="22">
    <w:name w:val="二级条标题"/>
    <w:basedOn w:val="17"/>
    <w:next w:val="18"/>
    <w:qFormat/>
    <w:uiPriority w:val="0"/>
    <w:pPr>
      <w:numPr>
        <w:ilvl w:val="3"/>
      </w:numPr>
      <w:tabs>
        <w:tab w:val="left" w:pos="435"/>
      </w:tabs>
      <w:ind w:left="435" w:hanging="435"/>
      <w:outlineLvl w:val="3"/>
    </w:pPr>
  </w:style>
  <w:style w:type="character" w:customStyle="1" w:styleId="23">
    <w:name w:val="章标题 Char"/>
    <w:link w:val="21"/>
    <w:qFormat/>
    <w:uiPriority w:val="0"/>
    <w:rPr>
      <w:rFonts w:ascii="黑体" w:hAnsi="黑体" w:eastAsia="黑体"/>
    </w:rPr>
  </w:style>
  <w:style w:type="character" w:customStyle="1" w:styleId="24">
    <w:name w:val="正文文本 3 字符"/>
    <w:basedOn w:val="13"/>
    <w:link w:val="6"/>
    <w:qFormat/>
    <w:uiPriority w:val="0"/>
    <w:rPr>
      <w:rFonts w:ascii="Times New Roman" w:hAnsi="Times New Roman" w:eastAsia="仿宋_GB2312" w:cs="Times New Roman"/>
      <w:kern w:val="0"/>
      <w:sz w:val="28"/>
      <w:szCs w:val="20"/>
    </w:rPr>
  </w:style>
  <w:style w:type="character" w:customStyle="1" w:styleId="25">
    <w:name w:val="页眉 Char"/>
    <w:basedOn w:val="13"/>
    <w:semiHidden/>
    <w:qFormat/>
    <w:uiPriority w:val="99"/>
    <w:rPr>
      <w:sz w:val="18"/>
      <w:szCs w:val="18"/>
    </w:rPr>
  </w:style>
  <w:style w:type="paragraph" w:customStyle="1" w:styleId="26">
    <w:name w:val="目次、标准名称标题"/>
    <w:basedOn w:val="1"/>
    <w:next w:val="1"/>
    <w:qFormat/>
    <w:uiPriority w:val="0"/>
    <w:pPr>
      <w:widowControl/>
      <w:shd w:val="clear" w:color="FFFFFF" w:fill="FFFFFF"/>
      <w:spacing w:before="640" w:after="560" w:line="460" w:lineRule="exact"/>
      <w:jc w:val="center"/>
      <w:outlineLvl w:val="0"/>
    </w:pPr>
    <w:rPr>
      <w:rFonts w:ascii="黑体" w:hAnsi="Times New Roman" w:eastAsia="黑体" w:cs="Times New Roman"/>
      <w:kern w:val="0"/>
      <w:sz w:val="32"/>
      <w:szCs w:val="20"/>
    </w:rPr>
  </w:style>
  <w:style w:type="paragraph" w:customStyle="1" w:styleId="27">
    <w:name w:val="注：（正文）"/>
    <w:basedOn w:val="1"/>
    <w:next w:val="18"/>
    <w:qFormat/>
    <w:uiPriority w:val="0"/>
    <w:pPr>
      <w:numPr>
        <w:ilvl w:val="0"/>
        <w:numId w:val="3"/>
      </w:numPr>
      <w:tabs>
        <w:tab w:val="left" w:pos="1080"/>
      </w:tabs>
      <w:autoSpaceDE w:val="0"/>
      <w:autoSpaceDN w:val="0"/>
      <w:ind w:left="726" w:hanging="363"/>
    </w:pPr>
    <w:rPr>
      <w:rFonts w:ascii="宋体" w:hAnsi="Times New Roman" w:eastAsia="宋体" w:cs="Times New Roman"/>
      <w:kern w:val="0"/>
      <w:sz w:val="18"/>
      <w:szCs w:val="18"/>
    </w:rPr>
  </w:style>
  <w:style w:type="paragraph" w:customStyle="1" w:styleId="28">
    <w:name w:val="标准书脚_奇数页"/>
    <w:qFormat/>
    <w:uiPriority w:val="0"/>
    <w:pPr>
      <w:spacing w:before="120"/>
      <w:jc w:val="right"/>
    </w:pPr>
    <w:rPr>
      <w:rFonts w:ascii="Times New Roman" w:hAnsi="Times New Roman" w:eastAsia="宋体" w:cs="Times New Roman"/>
      <w:kern w:val="0"/>
      <w:sz w:val="18"/>
      <w:szCs w:val="20"/>
      <w:lang w:val="en-US" w:eastAsia="zh-CN" w:bidi="ar-SA"/>
    </w:rPr>
  </w:style>
  <w:style w:type="character" w:customStyle="1" w:styleId="29">
    <w:name w:val="页眉 字符"/>
    <w:link w:val="9"/>
    <w:qFormat/>
    <w:uiPriority w:val="99"/>
    <w:rPr>
      <w:rFonts w:ascii="Times New Roman" w:hAnsi="Times New Roman" w:eastAsia="宋体" w:cs="Times New Roman"/>
      <w:sz w:val="18"/>
      <w:szCs w:val="18"/>
    </w:rPr>
  </w:style>
  <w:style w:type="character" w:customStyle="1" w:styleId="30">
    <w:name w:val="页脚 字符"/>
    <w:basedOn w:val="13"/>
    <w:link w:val="8"/>
    <w:qFormat/>
    <w:uiPriority w:val="99"/>
    <w:rPr>
      <w:sz w:val="18"/>
      <w:szCs w:val="18"/>
    </w:rPr>
  </w:style>
  <w:style w:type="paragraph" w:styleId="31">
    <w:name w:val="List Paragraph"/>
    <w:basedOn w:val="1"/>
    <w:unhideWhenUsed/>
    <w:qFormat/>
    <w:uiPriority w:val="99"/>
    <w:pPr>
      <w:ind w:firstLine="420" w:firstLineChars="200"/>
    </w:pPr>
    <w:rPr>
      <w:szCs w:val="24"/>
    </w:rPr>
  </w:style>
  <w:style w:type="character" w:customStyle="1" w:styleId="32">
    <w:name w:val="未处理的提及1"/>
    <w:basedOn w:val="13"/>
    <w:semiHidden/>
    <w:unhideWhenUsed/>
    <w:qFormat/>
    <w:uiPriority w:val="99"/>
    <w:rPr>
      <w:color w:val="605E5C"/>
      <w:shd w:val="clear" w:color="auto" w:fill="E1DFDD"/>
    </w:rPr>
  </w:style>
  <w:style w:type="character" w:customStyle="1" w:styleId="33">
    <w:name w:val="批注框文本 字符"/>
    <w:basedOn w:val="13"/>
    <w:link w:val="7"/>
    <w:semiHidden/>
    <w:qFormat/>
    <w:uiPriority w:val="99"/>
    <w:rPr>
      <w:sz w:val="18"/>
      <w:szCs w:val="18"/>
    </w:rPr>
  </w:style>
  <w:style w:type="paragraph" w:customStyle="1" w:styleId="34">
    <w:name w:val="正文 + 宋体"/>
    <w:basedOn w:val="1"/>
    <w:qFormat/>
    <w:uiPriority w:val="0"/>
    <w:pPr>
      <w:spacing w:line="360" w:lineRule="auto"/>
      <w:ind w:firstLine="480" w:firstLineChars="200"/>
    </w:pPr>
    <w:rPr>
      <w:rFonts w:ascii="宋体" w:hAnsi="宋体" w:eastAsia="宋体" w:cs="Times New Roman"/>
      <w:sz w:val="24"/>
      <w:szCs w:val="24"/>
    </w:rPr>
  </w:style>
  <w:style w:type="character" w:customStyle="1" w:styleId="35">
    <w:name w:val="fontstyle01"/>
    <w:basedOn w:val="13"/>
    <w:qFormat/>
    <w:uiPriority w:val="0"/>
    <w:rPr>
      <w:rFonts w:hint="eastAsia" w:ascii="仿宋" w:hAnsi="仿宋" w:eastAsia="仿宋"/>
      <w:color w:val="000000"/>
      <w:sz w:val="30"/>
      <w:szCs w:val="30"/>
    </w:rPr>
  </w:style>
  <w:style w:type="paragraph" w:customStyle="1" w:styleId="36">
    <w:name w:val="Default"/>
    <w:qFormat/>
    <w:uiPriority w:val="0"/>
    <w:pPr>
      <w:widowControl w:val="0"/>
      <w:autoSpaceDE w:val="0"/>
      <w:autoSpaceDN w:val="0"/>
      <w:adjustRightInd w:val="0"/>
    </w:pPr>
    <w:rPr>
      <w:rFonts w:ascii="方正小标宋简体" w:hAnsi="Calibri" w:eastAsia="方正小标宋简体" w:cs="方正小标宋简体"/>
      <w:color w:val="000000"/>
      <w:kern w:val="0"/>
      <w:sz w:val="24"/>
      <w:szCs w:val="24"/>
      <w:lang w:val="en-US" w:eastAsia="zh-CN" w:bidi="ar-SA"/>
    </w:rPr>
  </w:style>
  <w:style w:type="character" w:customStyle="1" w:styleId="37">
    <w:name w:val="未处理的提及2"/>
    <w:basedOn w:val="13"/>
    <w:semiHidden/>
    <w:unhideWhenUsed/>
    <w:qFormat/>
    <w:uiPriority w:val="99"/>
    <w:rPr>
      <w:color w:val="605E5C"/>
      <w:shd w:val="clear" w:color="auto" w:fill="E1DFDD"/>
    </w:rPr>
  </w:style>
  <w:style w:type="character" w:customStyle="1" w:styleId="38">
    <w:name w:val="段 Char"/>
    <w:basedOn w:val="13"/>
    <w:link w:val="18"/>
    <w:qFormat/>
    <w:uiPriority w:val="0"/>
    <w:rPr>
      <w:rFonts w:ascii="宋体" w:hAnsi="宋体" w:eastAsia="宋体" w:cs="Times New Roman"/>
      <w:kern w:val="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7040</Words>
  <Characters>8904</Characters>
  <Lines>14</Lines>
  <Paragraphs>3</Paragraphs>
  <TotalTime>1</TotalTime>
  <ScaleCrop>false</ScaleCrop>
  <LinksUpToDate>false</LinksUpToDate>
  <CharactersWithSpaces>9516</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2019-08-08T02:38:00Z</dcterms:created>
  <dc:creator>fengxue</dc:creator>
  <cp:lastModifiedBy>明</cp:lastModifiedBy>
  <cp:lastPrinted>2022-01-13T06:40:00Z</cp:lastPrinted>
  <dcterms:modified xsi:type="dcterms:W3CDTF">2026-07-07T00:41:45Z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61DC374312694F399C9125C52811FA18_13</vt:lpwstr>
  </property>
  <property fmtid="{D5CDD505-2E9C-101B-9397-08002B2CF9AE}" pid="4" name="KSOTemplateDocerSaveRecord">
    <vt:lpwstr>eyJoZGlkIjoiMTUxNDZhNzM4MWU5MDY1MTgxZDAwZTkyYzNjZjU5MmIiLCJ1c2VySWQiOiIzMDkxMTQyNjYifQ==</vt:lpwstr>
  </property>
</Properties>
</file>