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643"/>
        <w:jc w:val="center"/>
        <w:rPr>
          <w:rFonts w:hint="eastAsia" w:asciiTheme="minorEastAsia" w:hAnsiTheme="minorEastAsia" w:eastAsiaTheme="minorEastAsia" w:cstheme="minorEastAsia"/>
          <w:b/>
          <w:bCs/>
          <w:color w:val="auto"/>
          <w:sz w:val="32"/>
          <w:szCs w:val="28"/>
          <w:highlight w:val="none"/>
        </w:rPr>
      </w:pPr>
      <w:r>
        <w:rPr>
          <w:rFonts w:hint="eastAsia" w:asciiTheme="minorEastAsia" w:hAnsiTheme="minorEastAsia" w:eastAsiaTheme="minorEastAsia" w:cstheme="minorEastAsia"/>
          <w:b/>
          <w:bCs/>
          <w:color w:val="auto"/>
          <w:sz w:val="32"/>
          <w:szCs w:val="28"/>
          <w:highlight w:val="none"/>
        </w:rPr>
        <w:t>团体标准编制说明</w:t>
      </w:r>
    </w:p>
    <w:p>
      <w:pPr>
        <w:widowControl/>
        <w:spacing w:line="360" w:lineRule="auto"/>
        <w:ind w:firstLine="48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《糖尿病全周期数字健康管理服务规范》</w:t>
      </w:r>
    </w:p>
    <w:p>
      <w:pPr>
        <w:widowControl/>
        <w:spacing w:line="360" w:lineRule="auto"/>
        <w:ind w:firstLine="48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(阶段：征求意见稿</w:t>
      </w:r>
      <w:bookmarkStart w:id="0" w:name="_GoBack"/>
      <w:bookmarkEnd w:id="0"/>
      <w:r>
        <w:rPr>
          <w:rFonts w:hint="eastAsia" w:asciiTheme="minorEastAsia" w:hAnsiTheme="minorEastAsia" w:eastAsiaTheme="minorEastAsia" w:cstheme="minorEastAsia"/>
          <w:color w:val="auto"/>
          <w:sz w:val="24"/>
          <w:highlight w:val="none"/>
        </w:rPr>
        <w:t>)</w:t>
      </w:r>
    </w:p>
    <w:p>
      <w:pPr>
        <w:widowControl/>
        <w:numPr>
          <w:ilvl w:val="0"/>
          <w:numId w:val="1"/>
        </w:numPr>
        <w:spacing w:line="360" w:lineRule="auto"/>
        <w:ind w:firstLine="48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团体标准任务来源、编制背景、目的和意义</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任务来源：本文件由深圳市人民医院提出，由北京慢性病防治与健康教育研究会归口管理。</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编制背景：糖尿病作为一种需要终身管理的慢性疾病，其传统的线下单点诊疗模式存在连续性不足、患者依从性低等痛点。随着5G、物联网、大数据及人工智能等数字技术的快速发展，“数字健康管理”已成为提升慢性病防控效率的重要手段。然而，目前行业内缺乏统一的数字化全周期管理服务标准，各机构的软硬件系统、多模态数据交互、服务流程及质量控制参差不齐。</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目的和意义：本标准的制定旨在规范医疗机构、健康管理机构及数字健康服务提供商的服务行为。通过明确“一平台、六阶段、三支撑”的整体架构，打通预防、筛查、诊断、治疗、管理、康复的全周期流程，建立动态评估与闭环优化机制，以保障我国糖尿病数字健康管理服务的安全、高效和高质量发展。</w:t>
      </w:r>
    </w:p>
    <w:p>
      <w:pPr>
        <w:widowControl/>
        <w:numPr>
          <w:ilvl w:val="0"/>
          <w:numId w:val="1"/>
        </w:numPr>
        <w:spacing w:line="360" w:lineRule="auto"/>
        <w:ind w:left="0" w:leftChars="0"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工作简况，包括基本信息、任务来源、主要工作过程、主要起草人及其分工等。</w:t>
      </w:r>
    </w:p>
    <w:p>
      <w:pPr>
        <w:pStyle w:val="2"/>
        <w:keepNext w:val="0"/>
        <w:keepLines w:val="0"/>
        <w:widowControl/>
        <w:suppressLineNumbers w:val="0"/>
        <w:rPr>
          <w:b w:val="0"/>
          <w:bCs w:val="0"/>
        </w:rPr>
      </w:pPr>
      <w:r>
        <w:rPr>
          <w:b w:val="0"/>
          <w:bCs w:val="0"/>
        </w:rPr>
        <w:t>基本信息：</w:t>
      </w:r>
    </w:p>
    <w:p>
      <w:pPr>
        <w:pStyle w:val="2"/>
        <w:keepNext w:val="0"/>
        <w:keepLines w:val="0"/>
        <w:widowControl/>
        <w:suppressLineNumbers w:val="0"/>
        <w:rPr>
          <w:b w:val="0"/>
          <w:bCs w:val="0"/>
        </w:rPr>
      </w:pPr>
      <w:r>
        <w:rPr>
          <w:b w:val="0"/>
          <w:bCs w:val="0"/>
        </w:rPr>
        <w:t>标准名称：糖尿病全周期数字健康管理服务规范</w:t>
      </w:r>
    </w:p>
    <w:p>
      <w:pPr>
        <w:pStyle w:val="2"/>
        <w:keepNext w:val="0"/>
        <w:keepLines w:val="0"/>
        <w:widowControl/>
        <w:suppressLineNumbers w:val="0"/>
        <w:rPr>
          <w:rFonts w:hint="eastAsia" w:eastAsia="宋体"/>
          <w:b w:val="0"/>
          <w:bCs w:val="0"/>
          <w:lang w:val="en-US" w:eastAsia="zh-CN"/>
        </w:rPr>
      </w:pPr>
      <w:r>
        <w:rPr>
          <w:b w:val="0"/>
          <w:bCs w:val="0"/>
        </w:rPr>
        <w:t>提出单位：深圳市人民医</w:t>
      </w:r>
      <w:r>
        <w:rPr>
          <w:rFonts w:hint="eastAsia"/>
          <w:b w:val="0"/>
          <w:bCs w:val="0"/>
          <w:lang w:val="en-US" w:eastAsia="zh-CN"/>
        </w:rPr>
        <w:t>院</w:t>
      </w:r>
    </w:p>
    <w:p>
      <w:pPr>
        <w:pStyle w:val="2"/>
        <w:keepNext w:val="0"/>
        <w:keepLines w:val="0"/>
        <w:widowControl/>
        <w:suppressLineNumbers w:val="0"/>
        <w:rPr>
          <w:b w:val="0"/>
          <w:bCs w:val="0"/>
        </w:rPr>
      </w:pPr>
      <w:r>
        <w:rPr>
          <w:b w:val="0"/>
          <w:bCs w:val="0"/>
        </w:rPr>
        <w:t>归口单位：北京慢性病防治与健康教育研究会</w:t>
      </w:r>
    </w:p>
    <w:p>
      <w:pPr>
        <w:pStyle w:val="2"/>
        <w:keepNext w:val="0"/>
        <w:keepLines w:val="0"/>
        <w:widowControl/>
        <w:suppressLineNumbers w:val="0"/>
        <w:rPr>
          <w:b w:val="0"/>
          <w:bCs w:val="0"/>
        </w:rPr>
      </w:pPr>
      <w:r>
        <w:rPr>
          <w:b w:val="0"/>
          <w:bCs w:val="0"/>
        </w:rPr>
        <w:t>主要工作过程：</w:t>
      </w:r>
    </w:p>
    <w:p>
      <w:pPr>
        <w:pStyle w:val="2"/>
        <w:keepNext w:val="0"/>
        <w:keepLines w:val="0"/>
        <w:widowControl/>
        <w:suppressLineNumbers w:val="0"/>
        <w:rPr>
          <w:b w:val="0"/>
          <w:bCs w:val="0"/>
        </w:rPr>
      </w:pPr>
      <w:r>
        <w:rPr>
          <w:b w:val="0"/>
          <w:bCs w:val="0"/>
        </w:rPr>
        <w:t>准备阶段：起草小组对国内外糖尿病数字化管理研究及现有系统进行了深入调研，明确了“一平台、六阶段”的架构体系。</w:t>
      </w:r>
    </w:p>
    <w:p>
      <w:pPr>
        <w:pStyle w:val="2"/>
        <w:keepNext w:val="0"/>
        <w:keepLines w:val="0"/>
        <w:widowControl/>
        <w:suppressLineNumbers w:val="0"/>
        <w:rPr>
          <w:b w:val="0"/>
          <w:bCs w:val="0"/>
        </w:rPr>
      </w:pPr>
      <w:r>
        <w:rPr>
          <w:b w:val="0"/>
          <w:bCs w:val="0"/>
        </w:rPr>
        <w:t>起草阶段：起草组联合了北京天坛医院、北京安贞医院、福州康为网络技术有限公司等多家临床、科研、医疗卫生及科技企业单位，结合《中国糖尿病防治指南（2024 年版）》等临床证据，完成了草案初稿的编写。</w:t>
      </w:r>
    </w:p>
    <w:p>
      <w:pPr>
        <w:pStyle w:val="2"/>
        <w:keepNext w:val="0"/>
        <w:keepLines w:val="0"/>
        <w:widowControl/>
        <w:suppressLineNumbers w:val="0"/>
        <w:rPr>
          <w:b w:val="0"/>
          <w:bCs w:val="0"/>
        </w:rPr>
      </w:pPr>
      <w:r>
        <w:rPr>
          <w:b w:val="0"/>
          <w:bCs w:val="0"/>
        </w:rPr>
        <w:t>内部讨论与修改阶段：围绕分层级实施（二级/三级医院与基层医疗机构的差异化路径）、数据跨境传输安全及人工智能辅助决策的医疗安全责任边界进行了数轮修正。</w:t>
      </w:r>
    </w:p>
    <w:p>
      <w:pPr>
        <w:spacing w:after="120" w:line="324" w:lineRule="auto"/>
        <w:ind w:firstLine="480"/>
      </w:pPr>
      <w:r>
        <w:rPr>
          <w:rFonts w:ascii="Times New Roman" w:hAnsi="Times New Roman" w:eastAsia="宋体"/>
          <w:sz w:val="24"/>
        </w:rPr>
        <w:t>本标准主要起草人为</w:t>
      </w:r>
      <w:r>
        <w:rPr>
          <w:rFonts w:hint="eastAsia" w:ascii="Times New Roman" w:hAnsi="Times New Roman" w:eastAsia="宋体"/>
          <w:sz w:val="24"/>
          <w:lang w:val="en-US" w:eastAsia="zh-CN"/>
        </w:rPr>
        <w:t>康林</w:t>
      </w:r>
      <w:r>
        <w:rPr>
          <w:rFonts w:hint="eastAsia" w:ascii="Times New Roman" w:hAnsi="Times New Roman" w:eastAsia="宋体"/>
          <w:sz w:val="24"/>
        </w:rPr>
        <w:t>、</w:t>
      </w:r>
      <w:r>
        <w:rPr>
          <w:rFonts w:hint="eastAsia" w:ascii="Times New Roman" w:hAnsi="Times New Roman" w:eastAsia="宋体"/>
          <w:sz w:val="24"/>
          <w:lang w:val="en-US" w:eastAsia="zh-CN"/>
        </w:rPr>
        <w:t>徐平</w:t>
      </w:r>
      <w:r>
        <w:rPr>
          <w:rFonts w:hint="eastAsia" w:ascii="Times New Roman" w:hAnsi="Times New Roman" w:eastAsia="宋体"/>
          <w:sz w:val="24"/>
        </w:rPr>
        <w:t>、</w:t>
      </w:r>
      <w:r>
        <w:rPr>
          <w:rFonts w:hint="eastAsia" w:ascii="Times New Roman" w:hAnsi="Times New Roman" w:eastAsia="宋体"/>
          <w:sz w:val="24"/>
          <w:lang w:val="en-US" w:eastAsia="zh-CN"/>
        </w:rPr>
        <w:t>熊丽娇</w:t>
      </w:r>
      <w:r>
        <w:rPr>
          <w:rFonts w:hint="eastAsia" w:ascii="Times New Roman" w:hAnsi="Times New Roman" w:eastAsia="宋体"/>
          <w:sz w:val="24"/>
        </w:rPr>
        <w:t>、</w:t>
      </w:r>
      <w:r>
        <w:rPr>
          <w:rFonts w:hint="eastAsia" w:ascii="Times New Roman" w:hAnsi="Times New Roman" w:eastAsia="宋体"/>
          <w:sz w:val="24"/>
          <w:lang w:val="en-US" w:eastAsia="zh-CN"/>
        </w:rPr>
        <w:t>林志刚、叶晓燕</w:t>
      </w:r>
      <w:r>
        <w:rPr>
          <w:rFonts w:ascii="Times New Roman" w:hAnsi="Times New Roman" w:eastAsia="宋体"/>
          <w:sz w:val="24"/>
        </w:rPr>
        <w:t>。康林负责标准总体组织协调；</w:t>
      </w:r>
      <w:r>
        <w:rPr>
          <w:rFonts w:hint="eastAsia" w:ascii="Times New Roman" w:hAnsi="Times New Roman" w:eastAsia="宋体"/>
          <w:sz w:val="24"/>
          <w:lang w:val="en-US" w:eastAsia="zh-CN"/>
        </w:rPr>
        <w:t>徐平</w:t>
      </w:r>
      <w:r>
        <w:rPr>
          <w:rFonts w:hint="eastAsia" w:ascii="Times New Roman" w:hAnsi="Times New Roman" w:eastAsia="宋体"/>
          <w:sz w:val="24"/>
        </w:rPr>
        <w:t>、</w:t>
      </w:r>
      <w:r>
        <w:rPr>
          <w:rFonts w:hint="eastAsia" w:ascii="Times New Roman" w:hAnsi="Times New Roman" w:eastAsia="宋体"/>
          <w:sz w:val="24"/>
          <w:lang w:val="en-US" w:eastAsia="zh-CN"/>
        </w:rPr>
        <w:t>熊丽娇</w:t>
      </w:r>
      <w:r>
        <w:rPr>
          <w:rFonts w:hint="eastAsia"/>
          <w:sz w:val="24"/>
          <w:lang w:val="en-US" w:eastAsia="zh-CN"/>
        </w:rPr>
        <w:t>等</w:t>
      </w:r>
      <w:r>
        <w:rPr>
          <w:rFonts w:ascii="Times New Roman" w:hAnsi="Times New Roman" w:eastAsia="宋体"/>
          <w:sz w:val="24"/>
        </w:rPr>
        <w:t>负责糖尿病临床场景、医学证据和医疗安全边界把关；</w:t>
      </w:r>
      <w:r>
        <w:rPr>
          <w:rFonts w:hint="eastAsia" w:ascii="Times New Roman" w:hAnsi="Times New Roman" w:eastAsia="宋体"/>
          <w:sz w:val="24"/>
          <w:lang w:val="en-US" w:eastAsia="zh-CN"/>
        </w:rPr>
        <w:t>林志刚、叶晓燕</w:t>
      </w:r>
      <w:r>
        <w:rPr>
          <w:rFonts w:ascii="Times New Roman" w:hAnsi="Times New Roman" w:eastAsia="宋体"/>
          <w:sz w:val="24"/>
        </w:rPr>
        <w:t>负责数字化系统架构、评价指标可实现性论证。</w:t>
      </w:r>
    </w:p>
    <w:p>
      <w:pPr>
        <w:spacing w:after="120" w:line="324" w:lineRule="auto"/>
        <w:ind w:firstLine="480"/>
      </w:pPr>
      <w:r>
        <w:rPr>
          <w:rFonts w:ascii="Times New Roman" w:hAnsi="Times New Roman" w:eastAsia="宋体"/>
          <w:sz w:val="24"/>
        </w:rPr>
        <w:t>其他起草人包括</w:t>
      </w:r>
      <w:r>
        <w:rPr>
          <w:rFonts w:hint="eastAsia" w:ascii="Times New Roman" w:hAnsi="Times New Roman" w:eastAsia="宋体"/>
          <w:sz w:val="24"/>
          <w:lang w:val="en-US" w:eastAsia="zh-CN"/>
        </w:rPr>
        <w:t>吴炎</w:t>
      </w:r>
      <w:r>
        <w:rPr>
          <w:rFonts w:hint="eastAsia" w:ascii="Times New Roman" w:hAnsi="Times New Roman" w:eastAsia="宋体"/>
          <w:sz w:val="24"/>
        </w:rPr>
        <w:t>、</w:t>
      </w:r>
      <w:r>
        <w:rPr>
          <w:rFonts w:hint="eastAsia" w:ascii="Times New Roman" w:hAnsi="Times New Roman" w:eastAsia="宋体"/>
          <w:sz w:val="24"/>
          <w:lang w:val="en-US" w:eastAsia="zh-CN"/>
        </w:rPr>
        <w:t>钟历勇</w:t>
      </w:r>
      <w:r>
        <w:rPr>
          <w:rFonts w:hint="eastAsia" w:ascii="Times New Roman" w:hAnsi="Times New Roman" w:eastAsia="宋体"/>
          <w:sz w:val="24"/>
        </w:rPr>
        <w:t>、</w:t>
      </w:r>
      <w:r>
        <w:rPr>
          <w:rFonts w:hint="default" w:ascii="Times New Roman" w:hAnsi="Times New Roman" w:eastAsia="宋体"/>
          <w:sz w:val="24"/>
          <w:lang w:val="en-US" w:eastAsia="zh-CN"/>
        </w:rPr>
        <w:t>徐剑</w:t>
      </w:r>
      <w:r>
        <w:rPr>
          <w:rFonts w:hint="eastAsia" w:ascii="Times New Roman" w:hAnsi="Times New Roman" w:eastAsia="宋体"/>
          <w:sz w:val="24"/>
        </w:rPr>
        <w:t>、王立新</w:t>
      </w:r>
      <w:r>
        <w:rPr>
          <w:rFonts w:hint="eastAsia" w:ascii="Times New Roman" w:hAnsi="Times New Roman" w:eastAsia="宋体"/>
          <w:sz w:val="24"/>
          <w:lang w:eastAsia="zh-CN"/>
        </w:rPr>
        <w:t>、</w:t>
      </w:r>
      <w:r>
        <w:rPr>
          <w:rFonts w:hint="eastAsia" w:ascii="Times New Roman" w:hAnsi="Times New Roman" w:eastAsia="宋体"/>
          <w:sz w:val="24"/>
        </w:rPr>
        <w:t>林娟</w:t>
      </w:r>
      <w:r>
        <w:rPr>
          <w:rFonts w:hint="eastAsia" w:ascii="Times New Roman" w:hAnsi="Times New Roman" w:eastAsia="宋体"/>
          <w:sz w:val="24"/>
          <w:lang w:eastAsia="zh-CN"/>
        </w:rPr>
        <w:t>、</w:t>
      </w:r>
      <w:r>
        <w:rPr>
          <w:rFonts w:hint="eastAsia" w:ascii="Times New Roman" w:hAnsi="Times New Roman" w:eastAsia="宋体"/>
          <w:sz w:val="24"/>
          <w:lang w:val="en-US" w:eastAsia="zh-CN"/>
        </w:rPr>
        <w:t>宋李斌、</w:t>
      </w:r>
      <w:r>
        <w:rPr>
          <w:rFonts w:hint="eastAsia" w:ascii="Times New Roman" w:hAnsi="Times New Roman" w:eastAsia="宋体"/>
          <w:sz w:val="24"/>
        </w:rPr>
        <w:t>方红娟</w:t>
      </w:r>
      <w:r>
        <w:rPr>
          <w:rFonts w:hint="eastAsia" w:ascii="Times New Roman" w:hAnsi="Times New Roman" w:eastAsia="宋体"/>
          <w:sz w:val="24"/>
          <w:lang w:eastAsia="zh-CN"/>
        </w:rPr>
        <w:t>、</w:t>
      </w:r>
      <w:r>
        <w:rPr>
          <w:rFonts w:hint="eastAsia" w:ascii="Times New Roman" w:hAnsi="Times New Roman" w:eastAsia="宋体"/>
          <w:sz w:val="24"/>
        </w:rPr>
        <w:t>韩兵</w:t>
      </w:r>
      <w:r>
        <w:rPr>
          <w:rFonts w:hint="eastAsia" w:ascii="Times New Roman" w:hAnsi="Times New Roman" w:eastAsia="宋体"/>
          <w:sz w:val="24"/>
          <w:lang w:eastAsia="zh-CN"/>
        </w:rPr>
        <w:t>、</w:t>
      </w:r>
      <w:r>
        <w:rPr>
          <w:rFonts w:hint="eastAsia" w:ascii="Times New Roman" w:hAnsi="Times New Roman" w:eastAsia="宋体"/>
          <w:sz w:val="24"/>
        </w:rPr>
        <w:t>叶潇</w:t>
      </w:r>
      <w:r>
        <w:rPr>
          <w:rFonts w:hint="eastAsia" w:ascii="Times New Roman" w:hAnsi="Times New Roman" w:eastAsia="宋体"/>
          <w:sz w:val="24"/>
          <w:lang w:eastAsia="zh-CN"/>
        </w:rPr>
        <w:t>、</w:t>
      </w:r>
      <w:r>
        <w:rPr>
          <w:rFonts w:hint="eastAsia" w:ascii="Times New Roman" w:hAnsi="Times New Roman" w:eastAsia="宋体"/>
          <w:sz w:val="24"/>
        </w:rPr>
        <w:t>陈发秀</w:t>
      </w:r>
      <w:r>
        <w:rPr>
          <w:rFonts w:hint="eastAsia" w:ascii="Times New Roman" w:hAnsi="Times New Roman" w:eastAsia="宋体"/>
          <w:sz w:val="24"/>
          <w:lang w:eastAsia="zh-CN"/>
        </w:rPr>
        <w:t>、</w:t>
      </w:r>
      <w:r>
        <w:rPr>
          <w:rFonts w:hint="eastAsia" w:ascii="Times New Roman" w:hAnsi="Times New Roman" w:eastAsia="宋体"/>
          <w:sz w:val="24"/>
          <w:lang w:val="en-US" w:eastAsia="zh-CN"/>
        </w:rPr>
        <w:t>林奉森、</w:t>
      </w:r>
      <w:r>
        <w:rPr>
          <w:rFonts w:hint="eastAsia" w:ascii="Times New Roman" w:hAnsi="Times New Roman" w:eastAsia="宋体"/>
          <w:sz w:val="24"/>
        </w:rPr>
        <w:t>许荣</w:t>
      </w:r>
      <w:r>
        <w:rPr>
          <w:rFonts w:hint="eastAsia" w:ascii="Times New Roman" w:hAnsi="Times New Roman" w:eastAsia="宋体"/>
          <w:sz w:val="24"/>
          <w:lang w:eastAsia="zh-CN"/>
        </w:rPr>
        <w:t>、</w:t>
      </w:r>
      <w:r>
        <w:rPr>
          <w:rFonts w:hint="eastAsia" w:ascii="Times New Roman" w:hAnsi="Times New Roman" w:eastAsia="宋体"/>
          <w:sz w:val="24"/>
        </w:rPr>
        <w:t>谢芳</w:t>
      </w:r>
      <w:r>
        <w:rPr>
          <w:rFonts w:hint="eastAsia" w:ascii="Times New Roman" w:hAnsi="Times New Roman" w:eastAsia="宋体"/>
          <w:sz w:val="24"/>
          <w:lang w:eastAsia="zh-CN"/>
        </w:rPr>
        <w:t>、</w:t>
      </w:r>
      <w:r>
        <w:rPr>
          <w:rFonts w:hint="eastAsia" w:ascii="Times New Roman" w:hAnsi="Times New Roman" w:eastAsia="宋体"/>
          <w:sz w:val="24"/>
        </w:rPr>
        <w:t>阿曼古丽·苏力唐</w:t>
      </w:r>
      <w:r>
        <w:rPr>
          <w:rFonts w:hint="eastAsia" w:ascii="Times New Roman" w:hAnsi="Times New Roman" w:eastAsia="宋体"/>
          <w:sz w:val="24"/>
          <w:lang w:eastAsia="zh-CN"/>
        </w:rPr>
        <w:t>、</w:t>
      </w:r>
      <w:r>
        <w:rPr>
          <w:rFonts w:hint="eastAsia" w:ascii="Times New Roman" w:hAnsi="Times New Roman" w:eastAsia="宋体"/>
          <w:sz w:val="24"/>
        </w:rPr>
        <w:t>张宝玉</w:t>
      </w:r>
      <w:r>
        <w:rPr>
          <w:rFonts w:hint="eastAsia" w:ascii="Times New Roman" w:hAnsi="Times New Roman" w:eastAsia="宋体"/>
          <w:sz w:val="24"/>
          <w:lang w:eastAsia="zh-CN"/>
        </w:rPr>
        <w:t>、</w:t>
      </w:r>
      <w:r>
        <w:rPr>
          <w:rFonts w:hint="eastAsia" w:ascii="Times New Roman" w:hAnsi="Times New Roman" w:eastAsia="宋体"/>
          <w:sz w:val="24"/>
        </w:rPr>
        <w:t>张秀珍</w:t>
      </w:r>
      <w:r>
        <w:rPr>
          <w:rFonts w:hint="eastAsia" w:ascii="Times New Roman" w:hAnsi="Times New Roman" w:eastAsia="宋体"/>
          <w:sz w:val="24"/>
          <w:lang w:eastAsia="zh-CN"/>
        </w:rPr>
        <w:t>、</w:t>
      </w:r>
      <w:r>
        <w:rPr>
          <w:rFonts w:hint="eastAsia" w:ascii="Times New Roman" w:hAnsi="Times New Roman" w:eastAsia="宋体"/>
          <w:sz w:val="24"/>
        </w:rPr>
        <w:t>蒋竹奕</w:t>
      </w:r>
      <w:r>
        <w:rPr>
          <w:rFonts w:hint="eastAsia" w:ascii="Times New Roman" w:hAnsi="Times New Roman" w:eastAsia="宋体"/>
          <w:sz w:val="24"/>
          <w:lang w:eastAsia="zh-CN"/>
        </w:rPr>
        <w:t>、</w:t>
      </w:r>
      <w:r>
        <w:rPr>
          <w:rFonts w:hint="eastAsia" w:ascii="Times New Roman" w:hAnsi="Times New Roman" w:eastAsia="宋体"/>
          <w:sz w:val="24"/>
        </w:rPr>
        <w:t>曲光瑾</w:t>
      </w:r>
      <w:r>
        <w:rPr>
          <w:rFonts w:hint="eastAsia" w:ascii="Times New Roman" w:hAnsi="Times New Roman" w:eastAsia="宋体"/>
          <w:sz w:val="24"/>
          <w:lang w:eastAsia="zh-CN"/>
        </w:rPr>
        <w:t>、</w:t>
      </w:r>
      <w:r>
        <w:rPr>
          <w:rFonts w:hint="eastAsia" w:ascii="Times New Roman" w:hAnsi="Times New Roman" w:eastAsia="宋体"/>
          <w:sz w:val="24"/>
        </w:rPr>
        <w:t>陈子龙</w:t>
      </w:r>
      <w:r>
        <w:rPr>
          <w:rFonts w:hint="eastAsia" w:ascii="Times New Roman" w:hAnsi="Times New Roman" w:eastAsia="宋体"/>
          <w:sz w:val="24"/>
          <w:lang w:eastAsia="zh-CN"/>
        </w:rPr>
        <w:t>、</w:t>
      </w:r>
      <w:r>
        <w:rPr>
          <w:rFonts w:hint="eastAsia" w:ascii="Times New Roman" w:hAnsi="Times New Roman" w:eastAsia="宋体"/>
          <w:sz w:val="24"/>
        </w:rPr>
        <w:t>黄倩芳</w:t>
      </w:r>
      <w:r>
        <w:rPr>
          <w:rFonts w:hint="eastAsia" w:ascii="Times New Roman" w:hAnsi="Times New Roman" w:eastAsia="宋体"/>
          <w:sz w:val="24"/>
          <w:lang w:eastAsia="zh-CN"/>
        </w:rPr>
        <w:t>、</w:t>
      </w:r>
      <w:r>
        <w:rPr>
          <w:rFonts w:hint="eastAsia" w:ascii="Times New Roman" w:hAnsi="Times New Roman" w:eastAsia="宋体"/>
          <w:sz w:val="24"/>
        </w:rPr>
        <w:t>綦雯雯</w:t>
      </w:r>
      <w:r>
        <w:rPr>
          <w:rFonts w:hint="eastAsia" w:ascii="Times New Roman" w:hAnsi="Times New Roman" w:eastAsia="宋体"/>
          <w:sz w:val="24"/>
          <w:lang w:eastAsia="zh-CN"/>
        </w:rPr>
        <w:t>、</w:t>
      </w:r>
      <w:r>
        <w:rPr>
          <w:rFonts w:hint="eastAsia" w:ascii="Times New Roman" w:hAnsi="Times New Roman" w:eastAsia="宋体"/>
          <w:sz w:val="24"/>
        </w:rPr>
        <w:t>王延雪</w:t>
      </w:r>
      <w:r>
        <w:rPr>
          <w:rFonts w:hint="eastAsia" w:ascii="Times New Roman" w:hAnsi="Times New Roman" w:eastAsia="宋体"/>
          <w:sz w:val="24"/>
          <w:lang w:eastAsia="zh-CN"/>
        </w:rPr>
        <w:t>、</w:t>
      </w:r>
      <w:r>
        <w:rPr>
          <w:rFonts w:hint="eastAsia" w:ascii="Times New Roman" w:hAnsi="Times New Roman" w:eastAsia="宋体"/>
          <w:sz w:val="24"/>
        </w:rPr>
        <w:t>吴崇数</w:t>
      </w:r>
      <w:r>
        <w:rPr>
          <w:rFonts w:hint="eastAsia" w:ascii="Times New Roman" w:hAnsi="Times New Roman" w:eastAsia="宋体"/>
          <w:sz w:val="24"/>
          <w:lang w:eastAsia="zh-CN"/>
        </w:rPr>
        <w:t>、</w:t>
      </w:r>
      <w:r>
        <w:rPr>
          <w:rFonts w:hint="eastAsia" w:ascii="Times New Roman" w:hAnsi="Times New Roman" w:eastAsia="宋体"/>
          <w:sz w:val="24"/>
          <w:lang w:val="en-US" w:eastAsia="zh-CN"/>
        </w:rPr>
        <w:t>苏友智、</w:t>
      </w:r>
      <w:r>
        <w:rPr>
          <w:rFonts w:hint="eastAsia" w:ascii="Times New Roman" w:hAnsi="Times New Roman" w:eastAsia="宋体"/>
          <w:sz w:val="24"/>
        </w:rPr>
        <w:t>宋小英</w:t>
      </w:r>
      <w:r>
        <w:rPr>
          <w:rFonts w:hint="eastAsia" w:ascii="Times New Roman" w:hAnsi="Times New Roman" w:eastAsia="宋体"/>
          <w:sz w:val="24"/>
          <w:lang w:eastAsia="zh-CN"/>
        </w:rPr>
        <w:t>、</w:t>
      </w:r>
      <w:r>
        <w:rPr>
          <w:rFonts w:hint="eastAsia" w:ascii="Times New Roman" w:hAnsi="Times New Roman" w:eastAsia="宋体"/>
          <w:sz w:val="24"/>
          <w:lang w:val="en-US" w:eastAsia="zh-CN"/>
        </w:rPr>
        <w:t>梅运婷</w:t>
      </w:r>
      <w:r>
        <w:rPr>
          <w:rFonts w:ascii="Times New Roman" w:hAnsi="Times New Roman" w:eastAsia="宋体"/>
          <w:sz w:val="24"/>
        </w:rPr>
        <w:t>等，分别结合内分泌临床、糖尿病并发症管理、妊娠期糖尿病、儿童健康管理、医院信息化、数据治理、人工智能、营养干预、运维支撑和区域应用等方向参与文本起草、技术审核和意见修改。</w:t>
      </w:r>
    </w:p>
    <w:p>
      <w:pPr>
        <w:pStyle w:val="2"/>
        <w:keepNext w:val="0"/>
        <w:keepLines w:val="0"/>
        <w:widowControl/>
        <w:suppressLineNumbers w:val="0"/>
      </w:pPr>
    </w:p>
    <w:p>
      <w:pPr>
        <w:widowControl/>
        <w:numPr>
          <w:ilvl w:val="0"/>
          <w:numId w:val="1"/>
        </w:numPr>
        <w:spacing w:line="360" w:lineRule="auto"/>
        <w:ind w:left="0" w:leftChars="0"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标准编制原则。</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科学性原则：标准内容紧密结合《中国糖尿病防治指南（2024 年版）》，将循证医学证据转化为数字化服务流程与智能干预模型。</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规范性与安全性原则：严格参照国家数据安全与个人隐私保护标准（如GB/T 22239、GB/T 35273等），并对跨境数据传输及AI辅助决策的责任（强调不得替代执业医师判断）进行了严格规范。</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实用性与可操作性原则：标准充分考虑了我国医疗资源的分布现状，创新性地提出了三级/二级医院（引领型）与基层医疗机构（普及型）的分层级实施与差异化路径，确保标准具备极强的落地转化价值。</w:t>
      </w:r>
    </w:p>
    <w:p>
      <w:pPr>
        <w:widowControl/>
        <w:numPr>
          <w:ilvl w:val="0"/>
          <w:numId w:val="1"/>
        </w:numPr>
        <w:spacing w:line="360" w:lineRule="auto"/>
        <w:ind w:left="0" w:leftChars="0"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标准主要条文或技术内容的依据；专利情况说明；修订标准应说明新旧标准水平的对比情况。</w:t>
      </w:r>
    </w:p>
    <w:p>
      <w:pPr>
        <w:widowControl/>
        <w:numPr>
          <w:ilvl w:val="0"/>
          <w:numId w:val="0"/>
        </w:numPr>
        <w:spacing w:line="360" w:lineRule="auto"/>
        <w:ind w:left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主要条文及技术依据：</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架构与流程：依据临床慢病闭环管理逻辑，规定了预防、筛查、诊断、治疗、管理、康复等全周期6个阶段的服务流程。</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技术支撑与安全：对物联网设备（智能血糖仪等）的数据交互和测量精度提出了具体的技术对标要求（如血糖误差须符合GB/T 19634）。</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服务质量控制及附录：创新引入了包含“临床效果、治疗依从性、服务质量、卫生经济学指标”四维度的效果评价指标体系。</w:t>
      </w:r>
    </w:p>
    <w:p>
      <w:pPr>
        <w:spacing w:after="120" w:line="324" w:lineRule="auto"/>
        <w:ind w:firstLine="480"/>
        <w:rPr>
          <w:rFonts w:hint="eastAsia" w:eastAsia="宋体"/>
          <w:b/>
          <w:bCs/>
          <w:lang w:eastAsia="zh-CN"/>
        </w:rPr>
      </w:pPr>
      <w:r>
        <w:rPr>
          <w:b/>
          <w:bCs/>
          <w:sz w:val="24"/>
        </w:rPr>
        <w:t>专利情况说明</w:t>
      </w:r>
      <w:r>
        <w:rPr>
          <w:rFonts w:hint="eastAsia"/>
          <w:b/>
          <w:bCs/>
          <w:sz w:val="24"/>
          <w:lang w:eastAsia="zh-CN"/>
        </w:rPr>
        <w:t>：</w:t>
      </w:r>
    </w:p>
    <w:p>
      <w:pPr>
        <w:spacing w:after="120" w:line="324" w:lineRule="auto"/>
        <w:ind w:firstLine="480"/>
        <w:rPr>
          <w:rFonts w:ascii="Times New Roman" w:hAnsi="Times New Roman" w:eastAsia="宋体"/>
          <w:sz w:val="24"/>
        </w:rPr>
      </w:pPr>
      <w:r>
        <w:rPr>
          <w:rFonts w:ascii="Times New Roman" w:hAnsi="Times New Roman" w:eastAsia="宋体"/>
          <w:sz w:val="24"/>
        </w:rPr>
        <w:t>本标准未强制采用特定专利技术、专有算法、指定产品、指定中间件或指定平台架构。截至本编制说明形成时，起草组未发现本标准核心条款涉及必须使用的专利。标准发布机构不承担识别专利的责任；如后续实施过程中发现涉及专利，应按国家有关标准化和知识产权管理规定处理。</w:t>
      </w:r>
    </w:p>
    <w:p>
      <w:pPr>
        <w:spacing w:after="120" w:line="324" w:lineRule="auto"/>
        <w:ind w:firstLine="480"/>
        <w:rPr>
          <w:rFonts w:hint="eastAsia" w:eastAsia="宋体"/>
          <w:b/>
          <w:bCs/>
          <w:lang w:eastAsia="zh-CN"/>
        </w:rPr>
      </w:pPr>
      <w:r>
        <w:rPr>
          <w:b/>
          <w:bCs/>
          <w:sz w:val="24"/>
        </w:rPr>
        <w:t>新旧标准水平对比</w:t>
      </w:r>
      <w:r>
        <w:rPr>
          <w:rFonts w:hint="eastAsia"/>
          <w:b/>
          <w:bCs/>
          <w:sz w:val="24"/>
          <w:lang w:eastAsia="zh-CN"/>
        </w:rPr>
        <w:t>：</w:t>
      </w:r>
    </w:p>
    <w:p>
      <w:pPr>
        <w:spacing w:after="120" w:line="324" w:lineRule="auto"/>
        <w:ind w:firstLine="480"/>
      </w:pPr>
      <w:r>
        <w:rPr>
          <w:rFonts w:ascii="Times New Roman" w:hAnsi="Times New Roman" w:eastAsia="宋体"/>
          <w:sz w:val="24"/>
        </w:rPr>
        <w:t>本标准为新制定团体标准，不存在对现行团体标准、行业标准或国家标准的修订替代关系，因此不涉及新旧标准水平对比。</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b w:val="0"/>
          <w:bCs w:val="0"/>
          <w:color w:val="auto"/>
          <w:sz w:val="24"/>
          <w:highlight w:val="none"/>
        </w:rPr>
      </w:pPr>
    </w:p>
    <w:p>
      <w:pPr>
        <w:widowControl/>
        <w:numPr>
          <w:ilvl w:val="0"/>
          <w:numId w:val="1"/>
        </w:numPr>
        <w:spacing w:line="360" w:lineRule="auto"/>
        <w:ind w:left="0" w:leftChars="0"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主要试验、验证及试行结果。</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本标准在起草过程中，依托深圳市人民医院及相关协作基层医疗机构的数字化慢病管理平台进行了前期流程验证。试行结果表明：</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线上线下融合流程顺畅：通过分级预警和转诊流程，能有效捕获高危患者并及时干预。</w:t>
      </w:r>
    </w:p>
    <w:p>
      <w:pPr>
        <w:widowControl/>
        <w:numPr>
          <w:ilvl w:val="0"/>
          <w:numId w:val="0"/>
        </w:numPr>
        <w:spacing w:line="360" w:lineRule="auto"/>
        <w:ind w:leftChars="200"/>
        <w:jc w:val="left"/>
        <w:rPr>
          <w:rFonts w:hint="eastAsia" w:asciiTheme="minorEastAsia" w:hAnsiTheme="minorEastAsia" w:eastAsiaTheme="minorEastAsia" w:cstheme="minorEastAsia"/>
          <w:b w:val="0"/>
          <w:bCs w:val="0"/>
          <w:color w:val="auto"/>
          <w:sz w:val="24"/>
          <w:highlight w:val="none"/>
        </w:rPr>
      </w:pPr>
    </w:p>
    <w:p>
      <w:pPr>
        <w:widowControl/>
        <w:numPr>
          <w:ilvl w:val="0"/>
          <w:numId w:val="1"/>
        </w:numPr>
        <w:spacing w:line="360" w:lineRule="auto"/>
        <w:ind w:left="0" w:leftChars="0"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采用国际标准或国外先进标准的情况。</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b w:val="0"/>
          <w:bCs w:val="0"/>
          <w:color w:val="auto"/>
          <w:sz w:val="24"/>
          <w:highlight w:val="none"/>
          <w:lang w:eastAsia="zh-CN"/>
        </w:rPr>
      </w:pPr>
      <w:r>
        <w:rPr>
          <w:rFonts w:hint="eastAsia" w:asciiTheme="minorEastAsia" w:hAnsiTheme="minorEastAsia" w:eastAsiaTheme="minorEastAsia" w:cstheme="minorEastAsia"/>
          <w:b w:val="0"/>
          <w:bCs w:val="0"/>
          <w:color w:val="auto"/>
          <w:sz w:val="24"/>
          <w:highlight w:val="none"/>
        </w:rPr>
        <w:t>本标准在编制过程中，参考了国际上关于数字健康（Digital Health）和可穿戴设备数据交互的先进管理理念，结合我国卫生信息数据元标准（WS 363、WS 364），进行了自主创新的本土化标准研制，未直接等同采用特定国际标准</w:t>
      </w:r>
      <w:r>
        <w:rPr>
          <w:rFonts w:hint="eastAsia" w:asciiTheme="minorEastAsia" w:hAnsiTheme="minorEastAsia" w:eastAsiaTheme="minorEastAsia" w:cstheme="minorEastAsia"/>
          <w:b w:val="0"/>
          <w:bCs w:val="0"/>
          <w:color w:val="auto"/>
          <w:sz w:val="24"/>
          <w:highlight w:val="none"/>
          <w:lang w:eastAsia="zh-CN"/>
        </w:rPr>
        <w:t>。</w:t>
      </w:r>
    </w:p>
    <w:p>
      <w:pPr>
        <w:widowControl/>
        <w:numPr>
          <w:ilvl w:val="0"/>
          <w:numId w:val="1"/>
        </w:numPr>
        <w:spacing w:line="360" w:lineRule="auto"/>
        <w:ind w:left="0" w:leftChars="0"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与现行法律法规、强制性标准和其他有关标准的关系（推荐性国家标准、推荐性行业标准、团体标准、国际标准和国外先进标准等）。</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本标准与我国现行的法律法规、网络安全及健康医疗数据相关的国家标准保持高度一致：</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网络与数据安全完全符合强制性/推荐性标准：GB/T 22239（等保要求）、GB/T 35273（个人信息安全）、GB/T 39725-2020（健康医疗数据安全指南）。</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卫生信息标准完全对接：WS 363、WS 364、WS/T 483（健康档案共享）及 WST 500-2016（电子病历共享）。</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临床规范严格遵循《中国糖尿病防治指南（2024 年版）》，作为其在数字化服务领域的延伸和规范。</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本标准为推荐性团体标准，与现行强制性标准不存在冲突。如实施对象涉及强制性国家标准、强制性行业要求、医疗器械注册审查要求或医疗机构内部管理制度，应优先满足相应强制性要求和监管要求。</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b w:val="0"/>
          <w:bCs w:val="0"/>
          <w:color w:val="auto"/>
          <w:sz w:val="24"/>
          <w:highlight w:val="none"/>
        </w:rPr>
      </w:pPr>
    </w:p>
    <w:p>
      <w:pPr>
        <w:widowControl/>
        <w:spacing w:line="360" w:lineRule="auto"/>
        <w:ind w:firstLine="48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八、重大分歧或重难点的处理经过和依据。</w:t>
      </w:r>
    </w:p>
    <w:p>
      <w:pPr>
        <w:widowControl/>
        <w:spacing w:line="360" w:lineRule="auto"/>
        <w:ind w:firstLine="48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难点1：数据跨境传输的安全限制</w:t>
      </w:r>
    </w:p>
    <w:p>
      <w:pPr>
        <w:widowControl/>
        <w:spacing w:line="360" w:lineRule="auto"/>
        <w:ind w:firstLine="48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处理经过与依据：鉴于慢病健康数据具有高度敏感性，起草组达成一致，严控境外传输。标准规定在跨境传输前必须去标识化、脱敏，采用TLS1.3+加密通道，并严格遵守国家关于数据出境安全评估及人类遗传资源管理的相关法律法规。</w:t>
      </w:r>
    </w:p>
    <w:p>
      <w:pPr>
        <w:widowControl/>
        <w:spacing w:line="360" w:lineRule="auto"/>
        <w:ind w:firstLine="48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难点2：人工智能辅助决策的法律与医疗责任界定</w:t>
      </w:r>
    </w:p>
    <w:p>
      <w:pPr>
        <w:widowControl/>
        <w:spacing w:line="360" w:lineRule="auto"/>
        <w:ind w:firstLine="48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处理经过与依据：为规避法律风险，明确规定AI和平台仅作为辅助决策工具，严禁在健康管理服务中直接开具处方，所有关键诊疗确认、风险告知必须由具备资质的医务人员完成，确保医疗责任可追溯。</w:t>
      </w:r>
    </w:p>
    <w:p>
      <w:pPr>
        <w:widowControl/>
        <w:numPr>
          <w:ilvl w:val="0"/>
          <w:numId w:val="2"/>
        </w:numPr>
        <w:spacing w:line="360" w:lineRule="auto"/>
        <w:ind w:firstLine="48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作为强制性标准或推荐性标准的建议。</w:t>
      </w:r>
    </w:p>
    <w:p>
      <w:pPr>
        <w:widowControl/>
        <w:numPr>
          <w:ilvl w:val="0"/>
          <w:numId w:val="0"/>
        </w:numPr>
        <w:spacing w:line="360" w:lineRule="auto"/>
        <w:ind w:firstLine="480" w:firstLineChars="20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建议本标准作为推荐性团体标准发布实施。供各级医疗机构、慢性病防治研究机构、健康管理中心以及数字健康科技企业自愿采用。</w:t>
      </w:r>
    </w:p>
    <w:p>
      <w:pPr>
        <w:widowControl/>
        <w:numPr>
          <w:ilvl w:val="0"/>
          <w:numId w:val="2"/>
        </w:numPr>
        <w:spacing w:line="360" w:lineRule="auto"/>
        <w:ind w:left="0" w:leftChars="0"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贯彻该标准的要求、措施建议及预期效果。</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贯彻要求与措施建议：</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建议通过北京慢性病防治与健康教育研究会及各起草医疗机构进行标准的宣贯与培训。鼓励数字健康平台开发商对照第7章的技术要求进行系统的升级与适配。结合基层“家庭医生签约”服务包，将本标准推荐的基层路径纳入基本公共卫生服务范畴。</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预期效果：通过本标准的实施，规范糖尿病数字化管理市场，提升患者多模态数据的安全性，提高临床血糖达标率与患者满意度，同时通过卫生经济学评价，为医保支付政策创新与医疗机构运营决策提供扎实的数据支撑。</w:t>
      </w:r>
    </w:p>
    <w:p>
      <w:pPr>
        <w:widowControl/>
        <w:numPr>
          <w:ilvl w:val="0"/>
          <w:numId w:val="2"/>
        </w:numPr>
        <w:spacing w:line="360" w:lineRule="auto"/>
        <w:ind w:left="0" w:leftChars="0" w:firstLine="482" w:firstLineChars="20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bCs/>
          <w:color w:val="auto"/>
          <w:sz w:val="24"/>
          <w:highlight w:val="none"/>
        </w:rPr>
        <w:t>废止或代替现行相关标准的建议。</w:t>
      </w:r>
    </w:p>
    <w:p>
      <w:pPr>
        <w:widowControl/>
        <w:numPr>
          <w:ilvl w:val="0"/>
          <w:numId w:val="0"/>
        </w:numPr>
        <w:spacing w:line="360" w:lineRule="auto"/>
        <w:ind w:leftChars="200"/>
        <w:jc w:val="lef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本标准为首次制定，不涉及废止或代替现行相关标准。</w:t>
      </w:r>
    </w:p>
    <w:p>
      <w:pPr>
        <w:widowControl/>
        <w:spacing w:line="360" w:lineRule="auto"/>
        <w:ind w:firstLine="48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十二、其他应予说明的事项。</w:t>
      </w:r>
    </w:p>
    <w:p>
      <w:pPr>
        <w:widowControl/>
        <w:jc w:val="left"/>
        <w:rPr>
          <w:rFonts w:hint="eastAsia" w:eastAsia="宋体"/>
          <w:sz w:val="24"/>
          <w:szCs w:val="24"/>
          <w:lang w:val="en-US" w:eastAsia="zh-CN"/>
        </w:rPr>
      </w:pPr>
      <w:r>
        <w:rPr>
          <w:rFonts w:hint="eastAsia"/>
          <w:sz w:val="24"/>
          <w:szCs w:val="24"/>
          <w:lang w:val="en-US" w:eastAsia="zh-CN"/>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DE5ABF"/>
    <w:multiLevelType w:val="singleLevel"/>
    <w:tmpl w:val="BADE5ABF"/>
    <w:lvl w:ilvl="0" w:tentative="0">
      <w:start w:val="9"/>
      <w:numFmt w:val="chineseCounting"/>
      <w:suff w:val="nothing"/>
      <w:lvlText w:val="%1、"/>
      <w:lvlJc w:val="left"/>
      <w:rPr>
        <w:rFonts w:hint="eastAsia"/>
      </w:rPr>
    </w:lvl>
  </w:abstractNum>
  <w:abstractNum w:abstractNumId="1">
    <w:nsid w:val="5A4CB4F5"/>
    <w:multiLevelType w:val="singleLevel"/>
    <w:tmpl w:val="5A4CB4F5"/>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5ZDQzMmM1NGQ5NTBjMjE5MWVkZjVmNTQ4MWU2MjkifQ=="/>
  </w:docVars>
  <w:rsids>
    <w:rsidRoot w:val="76F57A64"/>
    <w:rsid w:val="28A8640A"/>
    <w:rsid w:val="28AB4D83"/>
    <w:rsid w:val="2A740A53"/>
    <w:rsid w:val="33C67C80"/>
    <w:rsid w:val="415347FA"/>
    <w:rsid w:val="4E44555E"/>
    <w:rsid w:val="61EE7873"/>
    <w:rsid w:val="76F57A64"/>
    <w:rsid w:val="7A011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0" w:firstLineChars="200"/>
      <w:jc w:val="both"/>
    </w:pPr>
    <w:rPr>
      <w:rFonts w:ascii="Times New Roman" w:hAnsi="Times New Roman" w:eastAsia="宋体" w:cstheme="minorBidi"/>
      <w:kern w:val="2"/>
      <w:sz w:val="30"/>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2530</Words>
  <Characters>2632</Characters>
  <Lines>0</Lines>
  <Paragraphs>0</Paragraphs>
  <TotalTime>0</TotalTime>
  <ScaleCrop>false</ScaleCrop>
  <LinksUpToDate>false</LinksUpToDate>
  <CharactersWithSpaces>2649</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2024-10-28T07:06:00Z</dcterms:created>
  <dc:creator>W HY</dc:creator>
  <cp:lastModifiedBy>明</cp:lastModifiedBy>
  <dcterms:modified xsi:type="dcterms:W3CDTF">2026-07-07T00:44:00Z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BBD46EC0FA074CA18A5ABDBDCAB0D43E_13</vt:lpwstr>
  </property>
  <property fmtid="{D5CDD505-2E9C-101B-9397-08002B2CF9AE}" pid="4" name="KSOTemplateDocerSaveRecord">
    <vt:lpwstr>eyJoZGlkIjoiMTUxNDZhNzM4MWU5MDY1MTgxZDAwZTkyYzNjZjU5MmIiLCJ1c2VySWQiOiIzMDkxMTQyNjYifQ==</vt:lpwstr>
  </property>
</Properties>
</file>