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Times New Roman" w:hAnsi="Times New Roman" w:eastAsia="宋体" w:cs="Times New Roman"/>
          <w:szCs w:val="20"/>
        </w:rPr>
      </w:pPr>
    </w:p>
    <w:p>
      <w:pPr>
        <w:spacing w:line="400" w:lineRule="exact"/>
        <w:jc w:val="left"/>
        <w:rPr>
          <w:rFonts w:ascii="仿宋" w:hAnsi="宋体" w:eastAsia="仿宋"/>
          <w:sz w:val="28"/>
          <w:szCs w:val="28"/>
        </w:rPr>
      </w:pPr>
      <w:r>
        <w:rPr>
          <w:rFonts w:hint="eastAsia" w:ascii="仿宋" w:hAnsi="宋体" w:eastAsia="仿宋"/>
          <w:sz w:val="28"/>
          <w:szCs w:val="28"/>
        </w:rPr>
        <w:t>I</w:t>
      </w:r>
      <w:r>
        <w:rPr>
          <w:rFonts w:ascii="仿宋" w:hAnsi="宋体" w:eastAsia="仿宋"/>
          <w:sz w:val="28"/>
          <w:szCs w:val="28"/>
        </w:rPr>
        <w:t>CS</w:t>
      </w:r>
      <w:r>
        <w:rPr>
          <w:rFonts w:hint="eastAsia" w:ascii="仿宋" w:hAnsi="宋体" w:eastAsia="仿宋"/>
          <w:sz w:val="28"/>
          <w:szCs w:val="28"/>
        </w:rPr>
        <w:t>号</w:t>
      </w:r>
    </w:p>
    <w:p>
      <w:pPr>
        <w:spacing w:line="400" w:lineRule="exact"/>
        <w:jc w:val="left"/>
        <w:rPr>
          <w:rFonts w:ascii="仿宋" w:hAnsi="宋体" w:eastAsia="仿宋"/>
          <w:sz w:val="28"/>
          <w:szCs w:val="28"/>
        </w:rPr>
      </w:pPr>
      <w:r>
        <w:rPr>
          <w:rFonts w:hint="eastAsia" w:ascii="仿宋" w:hAnsi="宋体" w:eastAsia="仿宋"/>
          <w:sz w:val="28"/>
          <w:szCs w:val="28"/>
        </w:rPr>
        <w:t>中国标准文献分类号</w:t>
      </w:r>
    </w:p>
    <w:p>
      <w:pPr>
        <w:spacing w:before="312" w:beforeLines="100" w:after="312" w:afterLines="100"/>
        <w:jc w:val="center"/>
        <w:rPr>
          <w:rFonts w:ascii="宋体" w:hAnsi="宋体"/>
          <w:sz w:val="96"/>
          <w:szCs w:val="28"/>
        </w:rPr>
      </w:pPr>
      <w:r>
        <w:rPr>
          <w:rFonts w:hint="eastAsia" w:ascii="宋体" w:hAnsi="宋体"/>
          <w:sz w:val="96"/>
          <w:szCs w:val="28"/>
        </w:rPr>
        <w:t xml:space="preserve">团 </w:t>
      </w:r>
      <w:r>
        <w:rPr>
          <w:rFonts w:ascii="宋体" w:hAnsi="宋体"/>
          <w:sz w:val="96"/>
          <w:szCs w:val="28"/>
        </w:rPr>
        <w:t xml:space="preserve"> </w:t>
      </w:r>
      <w:r>
        <w:rPr>
          <w:rFonts w:hint="eastAsia" w:ascii="宋体" w:hAnsi="宋体"/>
          <w:sz w:val="96"/>
          <w:szCs w:val="28"/>
        </w:rPr>
        <w:t xml:space="preserve">体 </w:t>
      </w:r>
      <w:r>
        <w:rPr>
          <w:rFonts w:ascii="宋体" w:hAnsi="宋体"/>
          <w:sz w:val="96"/>
          <w:szCs w:val="28"/>
        </w:rPr>
        <w:t xml:space="preserve"> </w:t>
      </w:r>
      <w:r>
        <w:rPr>
          <w:rFonts w:hint="eastAsia" w:ascii="宋体" w:hAnsi="宋体"/>
          <w:sz w:val="96"/>
          <w:szCs w:val="28"/>
        </w:rPr>
        <w:t xml:space="preserve">标 </w:t>
      </w:r>
      <w:r>
        <w:rPr>
          <w:rFonts w:ascii="宋体" w:hAnsi="宋体"/>
          <w:sz w:val="96"/>
          <w:szCs w:val="28"/>
        </w:rPr>
        <w:t xml:space="preserve"> </w:t>
      </w:r>
      <w:r>
        <w:rPr>
          <w:rFonts w:hint="eastAsia" w:ascii="宋体" w:hAnsi="宋体"/>
          <w:sz w:val="96"/>
          <w:szCs w:val="28"/>
        </w:rPr>
        <w:t>准</w:t>
      </w:r>
    </w:p>
    <w:p>
      <w:pPr>
        <w:ind w:firstLine="440"/>
        <w:jc w:val="right"/>
        <w:rPr>
          <w:rFonts w:ascii="黑体" w:hAnsi="黑体" w:eastAsia="黑体"/>
          <w:sz w:val="22"/>
          <w:szCs w:val="28"/>
        </w:rPr>
      </w:pPr>
      <w:r>
        <w:rPr>
          <w:rFonts w:hint="eastAsia" w:ascii="黑体" w:hAnsi="黑体" w:eastAsia="黑体"/>
          <w:sz w:val="22"/>
          <w:szCs w:val="28"/>
        </w:rPr>
        <w:t>团体标准编号T</w:t>
      </w:r>
      <w:r>
        <w:rPr>
          <w:rFonts w:ascii="黑体" w:hAnsi="黑体" w:eastAsia="黑体"/>
          <w:sz w:val="22"/>
          <w:szCs w:val="28"/>
        </w:rPr>
        <w:t>/</w:t>
      </w:r>
      <w:r>
        <w:rPr>
          <w:rFonts w:hint="eastAsia" w:ascii="黑体" w:hAnsi="黑体" w:eastAsia="黑体"/>
          <w:sz w:val="22"/>
          <w:szCs w:val="28"/>
        </w:rPr>
        <w:t>BRA-CDCHE</w:t>
      </w:r>
      <w:r>
        <w:rPr>
          <w:rFonts w:hint="eastAsia"/>
        </w:rPr>
        <w:t>/</w:t>
      </w:r>
      <w:r>
        <w:rPr>
          <w:rFonts w:ascii="黑体" w:hAnsi="黑体" w:eastAsia="黑体"/>
          <w:sz w:val="22"/>
          <w:szCs w:val="28"/>
        </w:rPr>
        <w:t xml:space="preserve"> XXXX-XXXX</w:t>
      </w:r>
    </w:p>
    <w:p>
      <w:pPr>
        <w:ind w:firstLine="440"/>
        <w:jc w:val="center"/>
        <w:rPr>
          <w:rFonts w:ascii="黑体" w:hAnsi="黑体" w:eastAsia="黑体"/>
          <w:sz w:val="22"/>
          <w:szCs w:val="28"/>
        </w:rPr>
      </w:pPr>
      <w:r>
        <w:rPr>
          <w:rFonts w:hint="eastAsia" w:ascii="黑体" w:hAnsi="黑体" w:eastAsia="黑体"/>
          <w:sz w:val="22"/>
          <w:szCs w:val="28"/>
        </w:rPr>
        <w:t xml:space="preserve">                                   代替的团体标准编号（修订填写）</w:t>
      </w:r>
    </w:p>
    <w:p>
      <w:pPr>
        <w:spacing w:line="240" w:lineRule="exact"/>
        <w:jc w:val="left"/>
        <w:rPr>
          <w:rFonts w:ascii="宋体" w:hAnsi="宋体"/>
          <w:sz w:val="28"/>
          <w:szCs w:val="28"/>
          <w:u w:val="single"/>
        </w:rPr>
      </w:pPr>
      <w:r>
        <w:rPr>
          <w:rFonts w:hint="eastAsia" w:ascii="宋体" w:hAnsi="宋体"/>
          <w:sz w:val="28"/>
          <w:szCs w:val="28"/>
          <w:u w:val="single"/>
        </w:rPr>
        <w:t xml:space="preserve"> </w:t>
      </w:r>
      <w:r>
        <w:rPr>
          <w:rFonts w:ascii="宋体" w:hAnsi="宋体"/>
          <w:sz w:val="28"/>
          <w:szCs w:val="28"/>
          <w:u w:val="single"/>
        </w:rPr>
        <w:t xml:space="preserve">                                                          </w:t>
      </w:r>
    </w:p>
    <w:p>
      <w:pPr>
        <w:jc w:val="left"/>
        <w:rPr>
          <w:rFonts w:ascii="宋体" w:hAnsi="宋体"/>
          <w:sz w:val="28"/>
          <w:szCs w:val="28"/>
        </w:rPr>
      </w:pPr>
    </w:p>
    <w:p>
      <w:pPr>
        <w:jc w:val="center"/>
        <w:rPr>
          <w:rFonts w:ascii="黑体" w:hAnsi="黑体" w:eastAsia="黑体"/>
          <w:sz w:val="52"/>
          <w:szCs w:val="28"/>
        </w:rPr>
      </w:pPr>
      <w:bookmarkStart w:id="0" w:name="_Hlk210935161"/>
      <w:r>
        <w:rPr>
          <w:rFonts w:hint="eastAsia" w:ascii="黑体" w:hAnsi="黑体" w:eastAsia="黑体"/>
          <w:sz w:val="52"/>
          <w:szCs w:val="28"/>
        </w:rPr>
        <w:t>心血管介入术中碘对比剂过敏性休克急救护理配合规范</w:t>
      </w:r>
    </w:p>
    <w:bookmarkEnd w:id="0"/>
    <w:p>
      <w:pPr>
        <w:jc w:val="center"/>
        <w:rPr>
          <w:rFonts w:ascii="Times New Roman" w:hAnsi="Times New Roman" w:eastAsia="黑体" w:cs="Times New Roman"/>
          <w:sz w:val="28"/>
          <w:szCs w:val="36"/>
        </w:rPr>
      </w:pPr>
      <w:r>
        <w:rPr>
          <w:rFonts w:ascii="Times New Roman" w:hAnsi="Times New Roman" w:eastAsia="黑体" w:cs="Times New Roman"/>
          <w:sz w:val="28"/>
          <w:szCs w:val="36"/>
        </w:rPr>
        <w:t>Emergency Nursing Standard for Iodinated-Contrast-Induced Anaphylactic Shock During Cardiac Interventions</w:t>
      </w:r>
    </w:p>
    <w:p>
      <w:pPr>
        <w:ind w:firstLine="560"/>
        <w:jc w:val="left"/>
        <w:rPr>
          <w:rFonts w:ascii="宋体" w:hAnsi="宋体"/>
          <w:sz w:val="28"/>
          <w:szCs w:val="28"/>
        </w:rPr>
      </w:pPr>
    </w:p>
    <w:p>
      <w:pPr>
        <w:ind w:firstLine="560"/>
        <w:jc w:val="left"/>
        <w:rPr>
          <w:rFonts w:ascii="宋体" w:hAnsi="宋体"/>
          <w:sz w:val="28"/>
          <w:szCs w:val="28"/>
        </w:rPr>
      </w:pPr>
    </w:p>
    <w:p>
      <w:pPr>
        <w:jc w:val="left"/>
        <w:rPr>
          <w:rFonts w:ascii="宋体" w:hAnsi="宋体"/>
          <w:sz w:val="28"/>
          <w:szCs w:val="28"/>
        </w:rPr>
      </w:pPr>
    </w:p>
    <w:p>
      <w:pPr>
        <w:ind w:firstLine="280" w:firstLineChars="100"/>
        <w:jc w:val="left"/>
        <w:rPr>
          <w:rFonts w:ascii="宋体" w:hAnsi="宋体"/>
          <w:sz w:val="28"/>
          <w:szCs w:val="28"/>
        </w:rPr>
      </w:pPr>
      <w:r>
        <w:rPr>
          <w:rFonts w:hint="eastAsia" w:ascii="宋体" w:hAnsi="宋体"/>
          <w:sz w:val="28"/>
          <w:szCs w:val="28"/>
        </w:rPr>
        <w:t>X</w:t>
      </w:r>
      <w:r>
        <w:rPr>
          <w:rFonts w:ascii="宋体" w:hAnsi="宋体"/>
          <w:sz w:val="28"/>
          <w:szCs w:val="28"/>
        </w:rPr>
        <w:t>XXX</w:t>
      </w:r>
      <w:r>
        <w:rPr>
          <w:rFonts w:hint="eastAsia" w:ascii="宋体" w:hAnsi="宋体"/>
          <w:sz w:val="28"/>
          <w:szCs w:val="28"/>
        </w:rPr>
        <w:t>年X</w:t>
      </w:r>
      <w:r>
        <w:rPr>
          <w:rFonts w:ascii="宋体" w:hAnsi="宋体"/>
          <w:sz w:val="28"/>
          <w:szCs w:val="28"/>
        </w:rPr>
        <w:t>X</w:t>
      </w:r>
      <w:r>
        <w:rPr>
          <w:rFonts w:hint="eastAsia" w:ascii="宋体" w:hAnsi="宋体"/>
          <w:sz w:val="28"/>
          <w:szCs w:val="28"/>
        </w:rPr>
        <w:t>月X</w:t>
      </w:r>
      <w:r>
        <w:rPr>
          <w:rFonts w:ascii="宋体" w:hAnsi="宋体"/>
          <w:sz w:val="28"/>
          <w:szCs w:val="28"/>
        </w:rPr>
        <w:t>X</w:t>
      </w:r>
      <w:r>
        <w:rPr>
          <w:rFonts w:hint="eastAsia" w:ascii="宋体" w:hAnsi="宋体"/>
          <w:sz w:val="28"/>
          <w:szCs w:val="28"/>
        </w:rPr>
        <w:t xml:space="preserve">日 </w:t>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 xml:space="preserve"> </w:t>
      </w:r>
      <w:r>
        <w:rPr>
          <w:rFonts w:hint="eastAsia" w:ascii="宋体" w:hAnsi="宋体"/>
          <w:sz w:val="28"/>
          <w:szCs w:val="28"/>
        </w:rPr>
        <w:t>X</w:t>
      </w:r>
      <w:r>
        <w:rPr>
          <w:rFonts w:ascii="宋体" w:hAnsi="宋体"/>
          <w:sz w:val="28"/>
          <w:szCs w:val="28"/>
        </w:rPr>
        <w:t>XXX</w:t>
      </w:r>
      <w:r>
        <w:rPr>
          <w:rFonts w:hint="eastAsia" w:ascii="宋体" w:hAnsi="宋体"/>
          <w:sz w:val="28"/>
          <w:szCs w:val="28"/>
        </w:rPr>
        <w:t>年X</w:t>
      </w:r>
      <w:r>
        <w:rPr>
          <w:rFonts w:ascii="宋体" w:hAnsi="宋体"/>
          <w:sz w:val="28"/>
          <w:szCs w:val="28"/>
        </w:rPr>
        <w:t>X</w:t>
      </w:r>
      <w:r>
        <w:rPr>
          <w:rFonts w:hint="eastAsia" w:ascii="宋体" w:hAnsi="宋体"/>
          <w:sz w:val="28"/>
          <w:szCs w:val="28"/>
        </w:rPr>
        <w:t>月X</w:t>
      </w:r>
      <w:r>
        <w:rPr>
          <w:rFonts w:ascii="宋体" w:hAnsi="宋体"/>
          <w:sz w:val="28"/>
          <w:szCs w:val="28"/>
        </w:rPr>
        <w:t>X</w:t>
      </w:r>
      <w:r>
        <w:rPr>
          <w:rFonts w:hint="eastAsia" w:ascii="宋体" w:hAnsi="宋体"/>
          <w:sz w:val="28"/>
          <w:szCs w:val="28"/>
        </w:rPr>
        <w:t>日实施</w:t>
      </w:r>
    </w:p>
    <w:p>
      <w:pPr>
        <w:ind w:firstLine="280" w:firstLineChars="100"/>
        <w:jc w:val="left"/>
        <w:rPr>
          <w:rFonts w:ascii="宋体" w:hAnsi="宋体"/>
          <w:sz w:val="28"/>
          <w:szCs w:val="28"/>
          <w:u w:val="single"/>
        </w:rPr>
      </w:pPr>
      <w:r>
        <w:rPr>
          <w:rFonts w:hint="eastAsia" w:ascii="宋体" w:hAnsi="宋体"/>
          <w:sz w:val="28"/>
          <w:szCs w:val="28"/>
          <w:u w:val="single"/>
        </w:rPr>
        <w:t xml:space="preserve"> </w:t>
      </w:r>
      <w:r>
        <w:rPr>
          <w:rFonts w:ascii="宋体" w:hAnsi="宋体"/>
          <w:sz w:val="28"/>
          <w:szCs w:val="28"/>
          <w:u w:val="single"/>
        </w:rPr>
        <w:t xml:space="preserve">                                                          </w:t>
      </w:r>
    </w:p>
    <w:p>
      <w:pPr>
        <w:ind w:firstLine="800"/>
        <w:jc w:val="center"/>
        <w:rPr>
          <w:rFonts w:ascii="宋体" w:hAnsi="宋体" w:eastAsia="黑体"/>
          <w:sz w:val="28"/>
          <w:szCs w:val="28"/>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cols w:space="425" w:num="1"/>
          <w:docGrid w:type="lines" w:linePitch="312" w:charSpace="0"/>
        </w:sectPr>
      </w:pPr>
      <w:r>
        <w:rPr>
          <w:rFonts w:hint="eastAsia" w:ascii="宋体" w:hAnsi="宋体"/>
          <w:sz w:val="36"/>
          <w:szCs w:val="24"/>
        </w:rPr>
        <w:t>北京慢性病防治与健康教育研究会</w:t>
      </w:r>
      <w:r>
        <w:rPr>
          <w:rFonts w:hint="eastAsia" w:ascii="宋体" w:hAnsi="宋体"/>
          <w:sz w:val="40"/>
          <w:szCs w:val="28"/>
        </w:rPr>
        <w:t xml:space="preserve"> </w:t>
      </w:r>
      <w:r>
        <w:rPr>
          <w:rFonts w:hint="eastAsia" w:ascii="黑体" w:hAnsi="黑体" w:eastAsia="黑体"/>
          <w:sz w:val="28"/>
          <w:szCs w:val="28"/>
        </w:rPr>
        <w:t>发布</w:t>
      </w:r>
    </w:p>
    <w:sdt>
      <w:sdtPr>
        <w:rPr>
          <w:rFonts w:hint="eastAsia" w:ascii="黑体" w:hAnsi="黑体" w:eastAsia="黑体" w:cs="黑体"/>
          <w:color w:val="auto"/>
          <w:kern w:val="2"/>
          <w:sz w:val="21"/>
          <w:szCs w:val="22"/>
          <w:lang w:eastAsia="zh-CN"/>
        </w:rPr>
        <w:id w:val="-715582888"/>
        <w:docPartObj>
          <w:docPartGallery w:val="Table of Contents"/>
          <w:docPartUnique/>
        </w:docPartObj>
      </w:sdtPr>
      <w:sdtEndPr>
        <w:rPr>
          <w:rFonts w:hint="eastAsia" w:asciiTheme="minorHAnsi" w:hAnsiTheme="minorHAnsi" w:eastAsiaTheme="minorEastAsia" w:cstheme="minorBidi"/>
          <w:b/>
          <w:bCs/>
          <w:color w:val="auto"/>
          <w:kern w:val="2"/>
          <w:sz w:val="21"/>
          <w:szCs w:val="22"/>
          <w:lang w:eastAsia="zh-CN"/>
        </w:rPr>
      </w:sdtEndPr>
      <w:sdtContent>
        <w:p>
          <w:pPr>
            <w:pStyle w:val="46"/>
            <w:jc w:val="center"/>
            <w:rPr>
              <w:rFonts w:ascii="黑体" w:hAnsi="黑体" w:eastAsia="黑体" w:cs="黑体"/>
              <w:color w:val="auto"/>
              <w:szCs w:val="20"/>
              <w:lang w:eastAsia="zh-CN"/>
            </w:rPr>
          </w:pPr>
          <w:bookmarkStart w:id="1" w:name="_Toc436205034"/>
          <w:bookmarkStart w:id="2" w:name="_Toc509933847"/>
          <w:bookmarkStart w:id="3" w:name="_Toc510534526"/>
          <w:r>
            <w:rPr>
              <w:rFonts w:hint="eastAsia" w:ascii="黑体" w:hAnsi="黑体" w:eastAsia="黑体" w:cs="黑体"/>
              <w:color w:val="auto"/>
              <w:szCs w:val="20"/>
              <w:lang w:eastAsia="zh-CN"/>
            </w:rPr>
            <w:t>目  次</w:t>
          </w:r>
        </w:p>
        <w:p>
          <w:pPr>
            <w:pStyle w:val="12"/>
            <w:tabs>
              <w:tab w:val="right" w:leader="dot" w:pos="8302"/>
            </w:tabs>
            <w:rPr>
              <w:rFonts w:asciiTheme="minorHAnsi" w:hAnsiTheme="minorHAnsi" w:eastAsiaTheme="minorEastAsia" w:cstheme="minorBidi"/>
              <w:b w:val="0"/>
              <w:bCs w:val="0"/>
              <w:sz w:val="22"/>
              <w:szCs w:val="24"/>
              <w:lang w:val="zh-CN"/>
              <w14:ligatures w14:val="standardContextual"/>
            </w:rPr>
          </w:pPr>
          <w:r>
            <w:rPr>
              <w:rFonts w:ascii="Times New Roman" w:eastAsia="宋体"/>
              <w:b w:val="0"/>
              <w:bCs w:val="0"/>
            </w:rPr>
            <w:fldChar w:fldCharType="begin"/>
          </w:r>
          <w:r>
            <w:rPr>
              <w:rFonts w:ascii="Times New Roman" w:eastAsia="宋体"/>
              <w:b w:val="0"/>
              <w:bCs w:val="0"/>
            </w:rPr>
            <w:instrText xml:space="preserve"> TOC \o "1-3" \h \z \u </w:instrText>
          </w:r>
          <w:r>
            <w:rPr>
              <w:rFonts w:ascii="Times New Roman" w:eastAsia="宋体"/>
              <w:b w:val="0"/>
              <w:bCs w:val="0"/>
            </w:rPr>
            <w:fldChar w:fldCharType="separate"/>
          </w:r>
          <w:r>
            <w:rPr>
              <w:rStyle w:val="18"/>
            </w:rPr>
            <w:fldChar w:fldCharType="begin"/>
          </w:r>
          <w:r>
            <w:rPr>
              <w:rStyle w:val="18"/>
            </w:rPr>
            <w:instrText xml:space="preserve"> </w:instrText>
          </w:r>
          <w:r>
            <w:instrText xml:space="preserve">HYPERLINK \l "_Toc230724082"</w:instrText>
          </w:r>
          <w:r>
            <w:rPr>
              <w:rStyle w:val="18"/>
            </w:rPr>
            <w:instrText xml:space="preserve"> </w:instrText>
          </w:r>
          <w:r>
            <w:rPr>
              <w:rStyle w:val="18"/>
            </w:rPr>
            <w:fldChar w:fldCharType="separate"/>
          </w:r>
          <w:r>
            <w:rPr>
              <w:rStyle w:val="18"/>
            </w:rPr>
            <w:t>前  言</w:t>
          </w:r>
          <w:r>
            <w:tab/>
          </w:r>
          <w:r>
            <w:fldChar w:fldCharType="begin"/>
          </w:r>
          <w:r>
            <w:instrText xml:space="preserve"> PAGEREF _Toc230724082 \h </w:instrText>
          </w:r>
          <w:r>
            <w:fldChar w:fldCharType="separate"/>
          </w:r>
          <w:r>
            <w:t>II</w:t>
          </w:r>
          <w:r>
            <w:fldChar w:fldCharType="end"/>
          </w:r>
          <w:r>
            <w:rPr>
              <w:rStyle w:val="18"/>
            </w:rPr>
            <w:fldChar w:fldCharType="end"/>
          </w:r>
        </w:p>
        <w:p>
          <w:pPr>
            <w:pStyle w:val="12"/>
            <w:tabs>
              <w:tab w:val="right" w:leader="dot" w:pos="8302"/>
            </w:tabs>
            <w:rPr>
              <w:rFonts w:asciiTheme="minorHAnsi" w:hAnsiTheme="minorHAnsi" w:eastAsiaTheme="minorEastAsia" w:cstheme="minorBidi"/>
              <w:b w:val="0"/>
              <w:bCs w:val="0"/>
              <w:sz w:val="22"/>
              <w:szCs w:val="24"/>
              <w:lang w:val="zh-CN"/>
              <w14:ligatures w14:val="standardContextual"/>
            </w:rPr>
          </w:pPr>
          <w:r>
            <w:rPr>
              <w:rStyle w:val="18"/>
            </w:rPr>
            <w:fldChar w:fldCharType="begin"/>
          </w:r>
          <w:r>
            <w:rPr>
              <w:rStyle w:val="18"/>
            </w:rPr>
            <w:instrText xml:space="preserve"> </w:instrText>
          </w:r>
          <w:r>
            <w:instrText xml:space="preserve">HYPERLINK \l "_Toc230724083"</w:instrText>
          </w:r>
          <w:r>
            <w:rPr>
              <w:rStyle w:val="18"/>
            </w:rPr>
            <w:instrText xml:space="preserve"> </w:instrText>
          </w:r>
          <w:r>
            <w:rPr>
              <w:rStyle w:val="18"/>
            </w:rPr>
            <w:fldChar w:fldCharType="separate"/>
          </w:r>
          <w:r>
            <w:rPr>
              <w:rStyle w:val="18"/>
              <w:rFonts w:hAnsi="黑体" w:cs="黑体"/>
            </w:rPr>
            <w:t>引 言</w:t>
          </w:r>
          <w:r>
            <w:tab/>
          </w:r>
          <w:r>
            <w:fldChar w:fldCharType="begin"/>
          </w:r>
          <w:r>
            <w:instrText xml:space="preserve"> PAGEREF _Toc230724083 \h </w:instrText>
          </w:r>
          <w:r>
            <w:fldChar w:fldCharType="separate"/>
          </w:r>
          <w:r>
            <w:t>III</w:t>
          </w:r>
          <w:r>
            <w:fldChar w:fldCharType="end"/>
          </w:r>
          <w:r>
            <w:rPr>
              <w:rStyle w:val="18"/>
            </w:rPr>
            <w:fldChar w:fldCharType="end"/>
          </w:r>
        </w:p>
        <w:p>
          <w:pPr>
            <w:pStyle w:val="14"/>
            <w:tabs>
              <w:tab w:val="right" w:leader="dot" w:pos="8302"/>
            </w:tabs>
            <w:rPr>
              <w:sz w:val="22"/>
              <w:szCs w:val="24"/>
              <w:lang w:val="zh-CN"/>
              <w14:ligatures w14:val="standardContextual"/>
            </w:rPr>
          </w:pPr>
          <w:r>
            <w:rPr>
              <w:rStyle w:val="18"/>
            </w:rPr>
            <w:fldChar w:fldCharType="begin"/>
          </w:r>
          <w:r>
            <w:rPr>
              <w:rStyle w:val="18"/>
            </w:rPr>
            <w:instrText xml:space="preserve"> </w:instrText>
          </w:r>
          <w:r>
            <w:instrText xml:space="preserve">HYPERLINK \l "_Toc230724084"</w:instrText>
          </w:r>
          <w:r>
            <w:rPr>
              <w:rStyle w:val="18"/>
            </w:rPr>
            <w:instrText xml:space="preserve"> </w:instrText>
          </w:r>
          <w:r>
            <w:rPr>
              <w:rStyle w:val="18"/>
            </w:rPr>
            <w:fldChar w:fldCharType="separate"/>
          </w:r>
          <w:r>
            <w:rPr>
              <w:rStyle w:val="18"/>
              <w:rFonts w:hAnsi="Times New Roman"/>
            </w:rPr>
            <w:t>1</w:t>
          </w:r>
          <w:r>
            <w:rPr>
              <w:rStyle w:val="18"/>
              <w:rFonts w:ascii="Times New Roman"/>
            </w:rPr>
            <w:t xml:space="preserve"> 适用范围</w:t>
          </w:r>
          <w:r>
            <w:tab/>
          </w:r>
          <w:r>
            <w:fldChar w:fldCharType="begin"/>
          </w:r>
          <w:r>
            <w:instrText xml:space="preserve"> PAGEREF _Toc230724084 \h </w:instrText>
          </w:r>
          <w:r>
            <w:fldChar w:fldCharType="separate"/>
          </w:r>
          <w:r>
            <w:t>1</w:t>
          </w:r>
          <w:r>
            <w:fldChar w:fldCharType="end"/>
          </w:r>
          <w:r>
            <w:rPr>
              <w:rStyle w:val="18"/>
            </w:rPr>
            <w:fldChar w:fldCharType="end"/>
          </w:r>
        </w:p>
        <w:p>
          <w:pPr>
            <w:pStyle w:val="14"/>
            <w:tabs>
              <w:tab w:val="right" w:leader="dot" w:pos="8302"/>
            </w:tabs>
            <w:rPr>
              <w:sz w:val="22"/>
              <w:szCs w:val="24"/>
              <w:lang w:val="zh-CN"/>
              <w14:ligatures w14:val="standardContextual"/>
            </w:rPr>
          </w:pPr>
          <w:r>
            <w:rPr>
              <w:rStyle w:val="18"/>
            </w:rPr>
            <w:fldChar w:fldCharType="begin"/>
          </w:r>
          <w:r>
            <w:rPr>
              <w:rStyle w:val="18"/>
            </w:rPr>
            <w:instrText xml:space="preserve"> </w:instrText>
          </w:r>
          <w:r>
            <w:instrText xml:space="preserve">HYPERLINK \l "_Toc230724085"</w:instrText>
          </w:r>
          <w:r>
            <w:rPr>
              <w:rStyle w:val="18"/>
            </w:rPr>
            <w:instrText xml:space="preserve"> </w:instrText>
          </w:r>
          <w:r>
            <w:rPr>
              <w:rStyle w:val="18"/>
            </w:rPr>
            <w:fldChar w:fldCharType="separate"/>
          </w:r>
          <w:r>
            <w:rPr>
              <w:rStyle w:val="18"/>
              <w:rFonts w:hAnsi="Times New Roman"/>
            </w:rPr>
            <w:t>2</w:t>
          </w:r>
          <w:r>
            <w:rPr>
              <w:rStyle w:val="18"/>
              <w:rFonts w:ascii="Times New Roman"/>
            </w:rPr>
            <w:t xml:space="preserve"> 规范性引用文件</w:t>
          </w:r>
          <w:r>
            <w:tab/>
          </w:r>
          <w:r>
            <w:fldChar w:fldCharType="begin"/>
          </w:r>
          <w:r>
            <w:instrText xml:space="preserve"> PAGEREF _Toc230724085 \h </w:instrText>
          </w:r>
          <w:r>
            <w:fldChar w:fldCharType="separate"/>
          </w:r>
          <w:r>
            <w:t>1</w:t>
          </w:r>
          <w:r>
            <w:fldChar w:fldCharType="end"/>
          </w:r>
          <w:r>
            <w:rPr>
              <w:rStyle w:val="18"/>
            </w:rPr>
            <w:fldChar w:fldCharType="end"/>
          </w:r>
        </w:p>
        <w:p>
          <w:pPr>
            <w:pStyle w:val="14"/>
            <w:tabs>
              <w:tab w:val="right" w:leader="dot" w:pos="8302"/>
            </w:tabs>
            <w:rPr>
              <w:sz w:val="22"/>
              <w:szCs w:val="24"/>
              <w:lang w:val="zh-CN"/>
              <w14:ligatures w14:val="standardContextual"/>
            </w:rPr>
          </w:pPr>
          <w:r>
            <w:rPr>
              <w:rStyle w:val="18"/>
            </w:rPr>
            <w:fldChar w:fldCharType="begin"/>
          </w:r>
          <w:r>
            <w:rPr>
              <w:rStyle w:val="18"/>
            </w:rPr>
            <w:instrText xml:space="preserve"> </w:instrText>
          </w:r>
          <w:r>
            <w:instrText xml:space="preserve">HYPERLINK \l "_Toc230724086"</w:instrText>
          </w:r>
          <w:r>
            <w:rPr>
              <w:rStyle w:val="18"/>
            </w:rPr>
            <w:instrText xml:space="preserve"> </w:instrText>
          </w:r>
          <w:r>
            <w:rPr>
              <w:rStyle w:val="18"/>
            </w:rPr>
            <w:fldChar w:fldCharType="separate"/>
          </w:r>
          <w:r>
            <w:rPr>
              <w:rStyle w:val="18"/>
              <w:rFonts w:hAnsi="Times New Roman"/>
            </w:rPr>
            <w:t>3</w:t>
          </w:r>
          <w:r>
            <w:rPr>
              <w:rStyle w:val="18"/>
              <w:rFonts w:ascii="Times New Roman"/>
            </w:rPr>
            <w:t xml:space="preserve"> 术语和定义</w:t>
          </w:r>
          <w:r>
            <w:tab/>
          </w:r>
          <w:r>
            <w:fldChar w:fldCharType="begin"/>
          </w:r>
          <w:r>
            <w:instrText xml:space="preserve"> PAGEREF _Toc230724086 \h </w:instrText>
          </w:r>
          <w:r>
            <w:fldChar w:fldCharType="separate"/>
          </w:r>
          <w:r>
            <w:t>1</w:t>
          </w:r>
          <w:r>
            <w:fldChar w:fldCharType="end"/>
          </w:r>
          <w:r>
            <w:rPr>
              <w:rStyle w:val="18"/>
            </w:rPr>
            <w:fldChar w:fldCharType="end"/>
          </w:r>
        </w:p>
        <w:p>
          <w:pPr>
            <w:pStyle w:val="14"/>
            <w:tabs>
              <w:tab w:val="right" w:leader="dot" w:pos="8302"/>
            </w:tabs>
            <w:rPr>
              <w:sz w:val="22"/>
              <w:szCs w:val="24"/>
              <w:lang w:val="zh-CN"/>
              <w14:ligatures w14:val="standardContextual"/>
            </w:rPr>
          </w:pPr>
          <w:r>
            <w:rPr>
              <w:rStyle w:val="18"/>
            </w:rPr>
            <w:fldChar w:fldCharType="begin"/>
          </w:r>
          <w:r>
            <w:rPr>
              <w:rStyle w:val="18"/>
            </w:rPr>
            <w:instrText xml:space="preserve"> </w:instrText>
          </w:r>
          <w:r>
            <w:instrText xml:space="preserve">HYPERLINK \l "_Toc230724087"</w:instrText>
          </w:r>
          <w:r>
            <w:rPr>
              <w:rStyle w:val="18"/>
            </w:rPr>
            <w:instrText xml:space="preserve"> </w:instrText>
          </w:r>
          <w:r>
            <w:rPr>
              <w:rStyle w:val="18"/>
            </w:rPr>
            <w:fldChar w:fldCharType="separate"/>
          </w:r>
          <w:r>
            <w:rPr>
              <w:rStyle w:val="18"/>
              <w:rFonts w:hAnsi="Times New Roman"/>
            </w:rPr>
            <w:t>4</w:t>
          </w:r>
          <w:r>
            <w:rPr>
              <w:rStyle w:val="18"/>
              <w:rFonts w:ascii="Times New Roman"/>
            </w:rPr>
            <w:t xml:space="preserve"> 术中风险识别</w:t>
          </w:r>
          <w:r>
            <w:tab/>
          </w:r>
          <w:r>
            <w:fldChar w:fldCharType="begin"/>
          </w:r>
          <w:r>
            <w:instrText xml:space="preserve"> PAGEREF _Toc230724087 \h </w:instrText>
          </w:r>
          <w:r>
            <w:fldChar w:fldCharType="separate"/>
          </w:r>
          <w:r>
            <w:t>2</w:t>
          </w:r>
          <w:r>
            <w:fldChar w:fldCharType="end"/>
          </w:r>
          <w:r>
            <w:rPr>
              <w:rStyle w:val="18"/>
            </w:rPr>
            <w:fldChar w:fldCharType="end"/>
          </w:r>
        </w:p>
        <w:p>
          <w:pPr>
            <w:pStyle w:val="14"/>
            <w:tabs>
              <w:tab w:val="right" w:leader="dot" w:pos="8302"/>
            </w:tabs>
            <w:rPr>
              <w:sz w:val="22"/>
              <w:szCs w:val="24"/>
              <w:lang w:val="zh-CN"/>
              <w14:ligatures w14:val="standardContextual"/>
            </w:rPr>
          </w:pPr>
          <w:r>
            <w:rPr>
              <w:rStyle w:val="18"/>
            </w:rPr>
            <w:fldChar w:fldCharType="begin"/>
          </w:r>
          <w:r>
            <w:rPr>
              <w:rStyle w:val="18"/>
            </w:rPr>
            <w:instrText xml:space="preserve"> </w:instrText>
          </w:r>
          <w:r>
            <w:instrText xml:space="preserve">HYPERLINK \l "_Toc230724088"</w:instrText>
          </w:r>
          <w:r>
            <w:rPr>
              <w:rStyle w:val="18"/>
            </w:rPr>
            <w:instrText xml:space="preserve"> </w:instrText>
          </w:r>
          <w:r>
            <w:rPr>
              <w:rStyle w:val="18"/>
            </w:rPr>
            <w:fldChar w:fldCharType="separate"/>
          </w:r>
          <w:r>
            <w:rPr>
              <w:rStyle w:val="18"/>
              <w:rFonts w:hAnsi="Times New Roman"/>
            </w:rPr>
            <w:t>5</w:t>
          </w:r>
          <w:r>
            <w:rPr>
              <w:rStyle w:val="18"/>
              <w:rFonts w:ascii="Times New Roman"/>
            </w:rPr>
            <w:t xml:space="preserve"> 急救处置流程与护理配合要点</w:t>
          </w:r>
          <w:r>
            <w:tab/>
          </w:r>
          <w:r>
            <w:fldChar w:fldCharType="begin"/>
          </w:r>
          <w:r>
            <w:instrText xml:space="preserve"> PAGEREF _Toc230724088 \h </w:instrText>
          </w:r>
          <w:r>
            <w:fldChar w:fldCharType="separate"/>
          </w:r>
          <w:r>
            <w:t>4</w:t>
          </w:r>
          <w:r>
            <w:fldChar w:fldCharType="end"/>
          </w:r>
          <w:r>
            <w:rPr>
              <w:rStyle w:val="18"/>
            </w:rPr>
            <w:fldChar w:fldCharType="end"/>
          </w:r>
        </w:p>
        <w:p>
          <w:pPr>
            <w:pStyle w:val="14"/>
            <w:tabs>
              <w:tab w:val="right" w:leader="dot" w:pos="8302"/>
            </w:tabs>
            <w:rPr>
              <w:sz w:val="22"/>
              <w:szCs w:val="24"/>
              <w:lang w:val="zh-CN"/>
              <w14:ligatures w14:val="standardContextual"/>
            </w:rPr>
          </w:pPr>
          <w:r>
            <w:rPr>
              <w:rStyle w:val="18"/>
            </w:rPr>
            <w:fldChar w:fldCharType="begin"/>
          </w:r>
          <w:r>
            <w:rPr>
              <w:rStyle w:val="18"/>
            </w:rPr>
            <w:instrText xml:space="preserve"> </w:instrText>
          </w:r>
          <w:r>
            <w:instrText xml:space="preserve">HYPERLINK \l "_Toc230724089"</w:instrText>
          </w:r>
          <w:r>
            <w:rPr>
              <w:rStyle w:val="18"/>
            </w:rPr>
            <w:instrText xml:space="preserve"> </w:instrText>
          </w:r>
          <w:r>
            <w:rPr>
              <w:rStyle w:val="18"/>
            </w:rPr>
            <w:fldChar w:fldCharType="separate"/>
          </w:r>
          <w:r>
            <w:rPr>
              <w:rStyle w:val="18"/>
              <w:rFonts w:hAnsi="Times New Roman"/>
            </w:rPr>
            <w:t>6</w:t>
          </w:r>
          <w:r>
            <w:rPr>
              <w:rStyle w:val="18"/>
              <w:rFonts w:ascii="Times New Roman"/>
            </w:rPr>
            <w:t xml:space="preserve"> 心血管介入患者中特殊人群护理要点</w:t>
          </w:r>
          <w:r>
            <w:tab/>
          </w:r>
          <w:r>
            <w:fldChar w:fldCharType="begin"/>
          </w:r>
          <w:r>
            <w:instrText xml:space="preserve"> PAGEREF _Toc230724089 \h </w:instrText>
          </w:r>
          <w:r>
            <w:fldChar w:fldCharType="separate"/>
          </w:r>
          <w:r>
            <w:t>8</w:t>
          </w:r>
          <w:r>
            <w:fldChar w:fldCharType="end"/>
          </w:r>
          <w:r>
            <w:rPr>
              <w:rStyle w:val="18"/>
            </w:rPr>
            <w:fldChar w:fldCharType="end"/>
          </w:r>
        </w:p>
        <w:p>
          <w:pPr>
            <w:pStyle w:val="12"/>
            <w:tabs>
              <w:tab w:val="right" w:leader="dot" w:pos="8302"/>
            </w:tabs>
            <w:rPr>
              <w:rFonts w:asciiTheme="minorHAnsi" w:hAnsiTheme="minorHAnsi" w:eastAsiaTheme="minorEastAsia" w:cstheme="minorBidi"/>
              <w:b w:val="0"/>
              <w:bCs w:val="0"/>
              <w:sz w:val="22"/>
              <w:szCs w:val="24"/>
              <w:lang w:val="zh-CN"/>
              <w14:ligatures w14:val="standardContextual"/>
            </w:rPr>
          </w:pPr>
          <w:r>
            <w:rPr>
              <w:rStyle w:val="18"/>
            </w:rPr>
            <w:fldChar w:fldCharType="begin"/>
          </w:r>
          <w:r>
            <w:rPr>
              <w:rStyle w:val="18"/>
            </w:rPr>
            <w:instrText xml:space="preserve"> </w:instrText>
          </w:r>
          <w:r>
            <w:instrText xml:space="preserve">HYPERLINK \l "_Toc230724090"</w:instrText>
          </w:r>
          <w:r>
            <w:rPr>
              <w:rStyle w:val="18"/>
            </w:rPr>
            <w:instrText xml:space="preserve"> </w:instrText>
          </w:r>
          <w:r>
            <w:rPr>
              <w:rStyle w:val="18"/>
            </w:rPr>
            <w:fldChar w:fldCharType="separate"/>
          </w:r>
          <w:r>
            <w:rPr>
              <w:rStyle w:val="18"/>
              <w:rFonts w:hAnsi="黑体" w:cs="黑体"/>
            </w:rPr>
            <w:t>附 录 1</w:t>
          </w:r>
          <w:r>
            <w:tab/>
          </w:r>
          <w:r>
            <w:fldChar w:fldCharType="begin"/>
          </w:r>
          <w:r>
            <w:instrText xml:space="preserve"> PAGEREF _Toc230724090 \h </w:instrText>
          </w:r>
          <w:r>
            <w:fldChar w:fldCharType="separate"/>
          </w:r>
          <w:r>
            <w:t>10</w:t>
          </w:r>
          <w:r>
            <w:fldChar w:fldCharType="end"/>
          </w:r>
          <w:r>
            <w:rPr>
              <w:rStyle w:val="18"/>
            </w:rPr>
            <w:fldChar w:fldCharType="end"/>
          </w:r>
        </w:p>
        <w:p>
          <w:pPr>
            <w:pStyle w:val="12"/>
            <w:tabs>
              <w:tab w:val="right" w:leader="dot" w:pos="8302"/>
            </w:tabs>
            <w:rPr>
              <w:rFonts w:asciiTheme="minorHAnsi" w:hAnsiTheme="minorHAnsi" w:eastAsiaTheme="minorEastAsia" w:cstheme="minorBidi"/>
              <w:b w:val="0"/>
              <w:bCs w:val="0"/>
              <w:sz w:val="22"/>
              <w:szCs w:val="24"/>
              <w:lang w:val="zh-CN"/>
              <w14:ligatures w14:val="standardContextual"/>
            </w:rPr>
          </w:pPr>
          <w:r>
            <w:rPr>
              <w:rStyle w:val="18"/>
            </w:rPr>
            <w:fldChar w:fldCharType="begin"/>
          </w:r>
          <w:r>
            <w:rPr>
              <w:rStyle w:val="18"/>
            </w:rPr>
            <w:instrText xml:space="preserve"> </w:instrText>
          </w:r>
          <w:r>
            <w:instrText xml:space="preserve">HYPERLINK \l "_Toc230724091"</w:instrText>
          </w:r>
          <w:r>
            <w:rPr>
              <w:rStyle w:val="18"/>
            </w:rPr>
            <w:instrText xml:space="preserve"> </w:instrText>
          </w:r>
          <w:r>
            <w:rPr>
              <w:rStyle w:val="18"/>
            </w:rPr>
            <w:fldChar w:fldCharType="separate"/>
          </w:r>
          <w:r>
            <w:rPr>
              <w:rStyle w:val="18"/>
              <w:rFonts w:hAnsi="黑体" w:cs="黑体"/>
            </w:rPr>
            <w:t>资料性附录</w:t>
          </w:r>
          <w:r>
            <w:tab/>
          </w:r>
          <w:r>
            <w:fldChar w:fldCharType="begin"/>
          </w:r>
          <w:r>
            <w:instrText xml:space="preserve"> PAGEREF _Toc230724091 \h </w:instrText>
          </w:r>
          <w:r>
            <w:fldChar w:fldCharType="separate"/>
          </w:r>
          <w:r>
            <w:t>10</w:t>
          </w:r>
          <w:r>
            <w:fldChar w:fldCharType="end"/>
          </w:r>
          <w:r>
            <w:rPr>
              <w:rStyle w:val="18"/>
            </w:rPr>
            <w:fldChar w:fldCharType="end"/>
          </w:r>
        </w:p>
        <w:p>
          <w:pPr>
            <w:pStyle w:val="12"/>
            <w:tabs>
              <w:tab w:val="right" w:leader="dot" w:pos="8302"/>
            </w:tabs>
            <w:rPr>
              <w:rFonts w:asciiTheme="minorHAnsi" w:hAnsiTheme="minorHAnsi" w:eastAsiaTheme="minorEastAsia" w:cstheme="minorBidi"/>
              <w:b w:val="0"/>
              <w:bCs w:val="0"/>
              <w:sz w:val="22"/>
              <w:szCs w:val="24"/>
              <w:lang w:val="zh-CN"/>
              <w14:ligatures w14:val="standardContextual"/>
            </w:rPr>
          </w:pPr>
          <w:r>
            <w:rPr>
              <w:rStyle w:val="18"/>
            </w:rPr>
            <w:fldChar w:fldCharType="begin"/>
          </w:r>
          <w:r>
            <w:rPr>
              <w:rStyle w:val="18"/>
            </w:rPr>
            <w:instrText xml:space="preserve"> </w:instrText>
          </w:r>
          <w:r>
            <w:instrText xml:space="preserve">HYPERLINK \l "_Toc230724092"</w:instrText>
          </w:r>
          <w:r>
            <w:rPr>
              <w:rStyle w:val="18"/>
            </w:rPr>
            <w:instrText xml:space="preserve"> </w:instrText>
          </w:r>
          <w:r>
            <w:rPr>
              <w:rStyle w:val="18"/>
            </w:rPr>
            <w:fldChar w:fldCharType="separate"/>
          </w:r>
          <w:r>
            <w:rPr>
              <w:rStyle w:val="18"/>
            </w:rPr>
            <w:t>参 考 文 献</w:t>
          </w:r>
          <w:r>
            <w:tab/>
          </w:r>
          <w:r>
            <w:fldChar w:fldCharType="begin"/>
          </w:r>
          <w:r>
            <w:instrText xml:space="preserve"> PAGEREF _Toc230724092 \h </w:instrText>
          </w:r>
          <w:r>
            <w:fldChar w:fldCharType="separate"/>
          </w:r>
          <w:r>
            <w:t>11</w:t>
          </w:r>
          <w:r>
            <w:fldChar w:fldCharType="end"/>
          </w:r>
          <w:r>
            <w:rPr>
              <w:rStyle w:val="18"/>
            </w:rPr>
            <w:fldChar w:fldCharType="end"/>
          </w:r>
        </w:p>
        <w:p>
          <w:r>
            <w:rPr>
              <w:rFonts w:ascii="Times New Roman" w:hAnsi="Times New Roman" w:eastAsia="宋体"/>
            </w:rPr>
            <w:fldChar w:fldCharType="end"/>
          </w:r>
        </w:p>
      </w:sdtContent>
    </w:sdt>
    <w:p>
      <w:pPr>
        <w:widowControl/>
        <w:jc w:val="left"/>
        <w:rPr>
          <w:rFonts w:ascii="黑体" w:hAnsi="Times New Roman" w:eastAsia="黑体" w:cs="Times New Roman"/>
          <w:b/>
          <w:bCs/>
          <w:kern w:val="0"/>
          <w:sz w:val="32"/>
          <w:szCs w:val="20"/>
        </w:rPr>
      </w:pPr>
      <w:r>
        <w:rPr>
          <w:b/>
          <w:bCs/>
        </w:rPr>
        <w:br w:type="page"/>
      </w:r>
      <w:bookmarkStart w:id="85" w:name="_GoBack"/>
      <w:bookmarkEnd w:id="85"/>
    </w:p>
    <w:p>
      <w:pPr>
        <w:pStyle w:val="33"/>
        <w:rPr>
          <w:rFonts w:ascii="Times New Roman"/>
        </w:rPr>
      </w:pPr>
      <w:bookmarkStart w:id="4" w:name="_Toc25864_WPSOffice_Level1"/>
      <w:bookmarkStart w:id="5" w:name="_Toc230724082"/>
      <w:bookmarkStart w:id="6" w:name="_Toc4091_WPSOffice_Level1"/>
      <w:bookmarkStart w:id="7" w:name="_Toc10219_WPSOffice_Level1"/>
      <w:r>
        <w:rPr>
          <w:rFonts w:hint="eastAsia"/>
        </w:rPr>
        <w:t>前  言</w:t>
      </w:r>
      <w:bookmarkEnd w:id="4"/>
      <w:bookmarkEnd w:id="5"/>
      <w:bookmarkEnd w:id="6"/>
      <w:bookmarkEnd w:id="7"/>
    </w:p>
    <w:p>
      <w:pPr>
        <w:pStyle w:val="26"/>
        <w:spacing w:after="0" w:line="360" w:lineRule="auto"/>
        <w:ind w:firstLine="420"/>
        <w:rPr>
          <w:rFonts w:ascii="Times New Roman"/>
        </w:rPr>
      </w:pPr>
      <w:r>
        <w:rPr>
          <w:rFonts w:hint="eastAsia" w:ascii="Times New Roman"/>
        </w:rPr>
        <w:t>本文件参照GB/T1.1—20</w:t>
      </w:r>
      <w:r>
        <w:rPr>
          <w:rFonts w:ascii="Times New Roman"/>
        </w:rPr>
        <w:t>20</w:t>
      </w:r>
      <w:r>
        <w:rPr>
          <w:rFonts w:hint="eastAsia" w:ascii="Times New Roman"/>
        </w:rPr>
        <w:t>《标准化工作导则 第1部分：标准化文件的结构和起草规则》的规定起草。</w:t>
      </w:r>
    </w:p>
    <w:p>
      <w:pPr>
        <w:pStyle w:val="26"/>
        <w:spacing w:after="0" w:line="360" w:lineRule="auto"/>
        <w:ind w:firstLine="420"/>
        <w:rPr>
          <w:rFonts w:ascii="Times New Roman"/>
        </w:rPr>
      </w:pPr>
      <w:r>
        <w:rPr>
          <w:rFonts w:hint="eastAsia" w:ascii="Times New Roman"/>
        </w:rPr>
        <w:t>请注意本文件的某些内容可能涉及专利。本文件的发布机构不承担识别专利的责任。</w:t>
      </w:r>
    </w:p>
    <w:p>
      <w:pPr>
        <w:pStyle w:val="26"/>
        <w:spacing w:after="0" w:line="360" w:lineRule="auto"/>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本文件由哈尔滨医科大学附属第二医院提出。</w:t>
      </w:r>
    </w:p>
    <w:p>
      <w:pPr>
        <w:pStyle w:val="26"/>
        <w:spacing w:after="0" w:line="360" w:lineRule="auto"/>
        <w:ind w:firstLine="420"/>
        <w:rPr>
          <w:rFonts w:ascii="Times New Roman"/>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本文件由北京慢性病防治与健康教育研究会归口。</w:t>
      </w:r>
    </w:p>
    <w:p>
      <w:pPr>
        <w:widowControl/>
        <w:spacing w:after="0" w:line="360" w:lineRule="auto"/>
        <w:ind w:firstLine="400"/>
        <w:jc w:val="left"/>
        <w:rPr>
          <w:rFonts w:ascii="Times New Roman" w:eastAsia="宋体"/>
          <w:color w:val="000000" w:themeColor="text1"/>
          <w14:textFill>
            <w14:solidFill>
              <w14:schemeClr w14:val="tx1"/>
            </w14:solidFill>
          </w14:textFill>
        </w:rPr>
      </w:pPr>
      <w:r>
        <w:rPr>
          <w:rFonts w:hint="eastAsia" w:ascii="Times New Roman"/>
          <w:color w:val="000000" w:themeColor="text1"/>
          <w14:textFill>
            <w14:solidFill>
              <w14:schemeClr w14:val="tx1"/>
            </w14:solidFill>
          </w14:textFill>
        </w:rPr>
        <w:t>本文件起草单位：</w:t>
      </w:r>
      <w:r>
        <w:rPr>
          <w:rFonts w:hint="eastAsia" w:ascii="Times New Roman" w:hAnsi="Times New Roman" w:eastAsia="宋体" w:cs="Times New Roman"/>
          <w:color w:val="000000"/>
          <w:kern w:val="0"/>
          <w:szCs w:val="20"/>
        </w:rPr>
        <w:t>哈尔滨医科大学附属第二医院、浙江大学医学院附属第二医院、西安交通大学第一附属医院、中国医学科学院阜外医院、中山大学附属第三医院、北京大学第三医院、浙江大学医学院附属邵逸夫医院、宁波大学附属第一医院（宁波市第一医院）、河南省人民医院、南京鼓楼医院、上海交通大学医学院附属瑞金医院、吉林大学第一医院、中国医科大学附属第一医院、大连医科大学附属第一医院、泰达国际心血管病医院、山西省白求恩医院、河北省人民医院、四川省人民医院、重庆医科大学附属第二医院、青岛大学附属医院、华中科技大学同济医学院附属同济医院、中南大学湘雅医院、皖南医学院附属第一医院、新疆自治区人民医院、江西省人民医院、贵州省人民医院、广西医科大学第一附属医院、海南省人民医院、云南省阜外心血管病医院、宁夏回族自治区人民医院、厦门大学附属心血管病医院、内蒙古自治区人民医院、哈尔滨医科大学附属第二医院。</w:t>
      </w:r>
    </w:p>
    <w:p>
      <w:pPr>
        <w:pStyle w:val="26"/>
        <w:spacing w:after="0" w:line="360" w:lineRule="auto"/>
        <w:ind w:firstLine="420"/>
        <w:rPr>
          <w:rFonts w:ascii="Times New Roman"/>
          <w:color w:val="000000" w:themeColor="text1"/>
          <w14:textFill>
            <w14:solidFill>
              <w14:schemeClr w14:val="tx1"/>
            </w14:solidFill>
          </w14:textFill>
        </w:rPr>
      </w:pPr>
      <w:r>
        <w:rPr>
          <w:rFonts w:hint="eastAsia"/>
        </w:rPr>
        <w:t>本文件的主要起草人：陶惠（牵头）、程继芳、梅娜、马玉珊、刘雪莲</w:t>
      </w:r>
    </w:p>
    <w:p>
      <w:pPr>
        <w:pStyle w:val="26"/>
        <w:spacing w:after="0" w:line="360" w:lineRule="auto"/>
        <w:ind w:firstLine="420"/>
        <w:rPr>
          <w:rFonts w:hAnsi="宋体"/>
          <w:i/>
          <w:color w:val="0070C0"/>
          <w:szCs w:val="21"/>
        </w:rPr>
      </w:pPr>
      <w:r>
        <w:rPr>
          <w:rFonts w:hint="eastAsia" w:ascii="Times New Roman"/>
        </w:rPr>
        <w:t>本文件的其他起草人</w:t>
      </w:r>
      <w:r>
        <w:rPr>
          <w:rFonts w:hint="eastAsia" w:ascii="Times New Roman"/>
          <w:color w:val="000000" w:themeColor="text1"/>
          <w14:textFill>
            <w14:solidFill>
              <w14:schemeClr w14:val="tx1"/>
            </w14:solidFill>
          </w14:textFill>
        </w:rPr>
        <w:t>：段俊滔、马燕、居洁勤、赵文利、陆剑嵘、陈馨、纪天亮、吴文颖、汪正艳、王海江、郝大洁、李英肖、陈付利、王小琳、张岩、万琼、于静芳、杨春莲、谢芳、周云英、梁青龙、梁俊丽、王瑜、陈建中、李金萍、温红梅、王吉英、</w:t>
      </w:r>
      <w:r>
        <w:rPr>
          <w:rFonts w:ascii="Times New Roman"/>
          <w:color w:val="000000" w:themeColor="text1"/>
          <w14:textFill>
            <w14:solidFill>
              <w14:schemeClr w14:val="tx1"/>
            </w14:solidFill>
          </w14:textFill>
        </w:rPr>
        <w:t>刘赢</w:t>
      </w:r>
      <w:r>
        <w:rPr>
          <w:rFonts w:hint="eastAsia" w:ascii="Times New Roman"/>
          <w:color w:val="000000" w:themeColor="text1"/>
          <w14:textFill>
            <w14:solidFill>
              <w14:schemeClr w14:val="tx1"/>
            </w14:solidFill>
          </w14:textFill>
        </w:rPr>
        <w:t>。</w:t>
      </w:r>
    </w:p>
    <w:p>
      <w:pPr>
        <w:pStyle w:val="33"/>
        <w:rPr>
          <w:rFonts w:hAnsi="宋体"/>
          <w:i/>
          <w:color w:val="0070C0"/>
          <w:szCs w:val="21"/>
        </w:rPr>
      </w:pPr>
    </w:p>
    <w:p>
      <w:pPr>
        <w:pStyle w:val="33"/>
        <w:rPr>
          <w:rFonts w:hAnsi="宋体"/>
          <w:i/>
          <w:color w:val="0070C0"/>
          <w:szCs w:val="21"/>
        </w:rPr>
      </w:pPr>
    </w:p>
    <w:p>
      <w:pPr>
        <w:pStyle w:val="33"/>
        <w:rPr>
          <w:rFonts w:hAnsi="宋体"/>
          <w:i/>
          <w:color w:val="0070C0"/>
          <w:szCs w:val="21"/>
        </w:rPr>
      </w:pPr>
    </w:p>
    <w:p>
      <w:pPr>
        <w:pStyle w:val="33"/>
        <w:rPr>
          <w:rFonts w:hAnsi="宋体"/>
          <w:i/>
          <w:color w:val="0070C0"/>
          <w:szCs w:val="21"/>
        </w:rPr>
      </w:pPr>
    </w:p>
    <w:p>
      <w:pPr>
        <w:pStyle w:val="33"/>
        <w:numPr>
          <w:ilvl w:val="0"/>
          <w:numId w:val="0"/>
        </w:numPr>
        <w:rPr>
          <w:rFonts w:hAnsi="黑体" w:cs="黑体"/>
          <w:i/>
          <w:color w:val="0070C0"/>
          <w:szCs w:val="21"/>
        </w:rPr>
      </w:pPr>
      <w:bookmarkStart w:id="8" w:name="_Toc230724083"/>
      <w:r>
        <w:rPr>
          <w:rFonts w:hint="eastAsia" w:hAnsi="黑体" w:cs="黑体"/>
        </w:rPr>
        <w:t>引</w:t>
      </w:r>
      <w:bookmarkStart w:id="9" w:name="BKYY"/>
      <w:r>
        <w:rPr>
          <w:rFonts w:hint="eastAsia" w:hAnsi="黑体" w:cs="黑体"/>
        </w:rPr>
        <w:t> 言</w:t>
      </w:r>
      <w:bookmarkEnd w:id="1"/>
      <w:bookmarkEnd w:id="2"/>
      <w:bookmarkEnd w:id="3"/>
      <w:bookmarkEnd w:id="8"/>
      <w:bookmarkEnd w:id="9"/>
    </w:p>
    <w:p>
      <w:pPr>
        <w:widowControl/>
        <w:spacing w:after="0" w:line="360" w:lineRule="auto"/>
        <w:ind w:firstLine="420"/>
        <w:jc w:val="left"/>
        <w:rPr>
          <w:rFonts w:ascii="Times New Roman" w:hAnsi="Times New Roman" w:eastAsia="宋体" w:cs="Times New Roman"/>
          <w:color w:val="000000"/>
          <w:kern w:val="0"/>
          <w:szCs w:val="20"/>
        </w:rPr>
      </w:pPr>
      <w:r>
        <w:rPr>
          <w:rFonts w:hint="eastAsia" w:ascii="Times New Roman" w:hAnsi="Times New Roman" w:eastAsia="宋体" w:cs="Times New Roman"/>
          <w:color w:val="000000"/>
          <w:kern w:val="0"/>
          <w:szCs w:val="20"/>
        </w:rPr>
        <w:t>心脏介入诊疗中普遍需使用含碘对比剂以增强冠状动脉、大血管及心腔结构的显示，提升诊断与治疗的精准度。碘对比剂的安全管理贯穿术前评估、术中使用、术后观察等全过程，其中过敏性休克虽发生率较低，但具有起病急、进展快、危害重的特点，是心血管介入场景中最具危急性的突发事件之一</w:t>
      </w:r>
      <w:r>
        <w:rPr>
          <w:rFonts w:ascii="Times New Roman" w:hAnsi="Times New Roman" w:eastAsia="宋体" w:cs="Times New Roman"/>
          <w:color w:val="000000"/>
          <w:kern w:val="0"/>
          <w:szCs w:val="20"/>
        </w:rPr>
        <w:t>。</w:t>
      </w:r>
    </w:p>
    <w:p>
      <w:pPr>
        <w:widowControl/>
        <w:spacing w:after="0" w:line="360" w:lineRule="auto"/>
        <w:ind w:firstLine="420"/>
        <w:jc w:val="left"/>
        <w:rPr>
          <w:rFonts w:ascii="Times New Roman" w:hAnsi="Times New Roman" w:eastAsia="宋体" w:cs="Times New Roman"/>
          <w:color w:val="000000"/>
          <w:kern w:val="0"/>
          <w:szCs w:val="20"/>
        </w:rPr>
      </w:pPr>
      <w:r>
        <w:rPr>
          <w:rFonts w:hint="eastAsia" w:ascii="Times New Roman" w:hAnsi="Times New Roman" w:eastAsia="宋体" w:cs="Times New Roman"/>
          <w:color w:val="000000"/>
          <w:kern w:val="0"/>
          <w:szCs w:val="20"/>
        </w:rPr>
        <w:t>近年来，随着心血管介入手术量持续增长，碘对比剂不良反应尤其是急性过敏性休克的识别与急救处置受到高度重视。有效的急救流程、规范化护理操作、团队协作和专业人员培训，是降低不良事件损害程度的重要保障。当前国内在心血管介入专科护理领域，对碘对比剂过敏性休克的术中急救护理尚缺乏系统性的标准化规范，实践中对急救的依赖仍更多基于个人经验，导致团队应急效率和操作一致性存在差异</w:t>
      </w:r>
      <w:r>
        <w:rPr>
          <w:rFonts w:ascii="Times New Roman" w:hAnsi="Times New Roman" w:eastAsia="宋体" w:cs="Times New Roman"/>
          <w:color w:val="000000"/>
          <w:kern w:val="0"/>
          <w:szCs w:val="20"/>
        </w:rPr>
        <w:t>。</w:t>
      </w:r>
    </w:p>
    <w:p>
      <w:pPr>
        <w:widowControl/>
        <w:spacing w:after="0" w:line="360" w:lineRule="auto"/>
        <w:ind w:firstLine="420"/>
        <w:jc w:val="left"/>
        <w:rPr>
          <w:rFonts w:ascii="Times New Roman" w:hAnsi="Times New Roman" w:eastAsia="宋体" w:cs="Times New Roman"/>
          <w:color w:val="000000"/>
          <w:kern w:val="0"/>
          <w:szCs w:val="20"/>
        </w:rPr>
      </w:pPr>
      <w:r>
        <w:rPr>
          <w:rFonts w:hint="eastAsia" w:ascii="Times New Roman" w:hAnsi="Times New Roman" w:eastAsia="宋体" w:cs="Times New Roman"/>
          <w:color w:val="000000"/>
          <w:kern w:val="0"/>
          <w:szCs w:val="20"/>
        </w:rPr>
        <w:t>本文件的制定旨在提升导管室护理团队对心血管介入术中碘对比剂过敏性休克的风险识别、应急处置和协作配合能力，改善碘对比剂相关严重不良事件的转归，最大限度保障患者安全，并推动心血管介入护理学科的规范化、同质化和专科化发展。</w:t>
      </w:r>
    </w:p>
    <w:p>
      <w:pPr>
        <w:widowControl/>
        <w:spacing w:after="0" w:line="360" w:lineRule="auto"/>
        <w:ind w:firstLine="420"/>
        <w:jc w:val="left"/>
        <w:rPr>
          <w:rFonts w:ascii="Times New Roman" w:hAnsi="Times New Roman" w:eastAsia="宋体" w:cs="Times New Roman"/>
          <w:color w:val="000000"/>
          <w:kern w:val="0"/>
          <w:szCs w:val="20"/>
        </w:rPr>
      </w:pPr>
      <w:r>
        <w:rPr>
          <w:rFonts w:hint="eastAsia" w:ascii="Times New Roman" w:hAnsi="Times New Roman" w:eastAsia="宋体" w:cs="Times New Roman"/>
          <w:color w:val="000000"/>
          <w:kern w:val="0"/>
          <w:szCs w:val="20"/>
        </w:rPr>
        <w:t>需要进一步指出的是，本文件与现有相关指南、专家共识及操作规范在定位和内容侧重点上存在本质差异。相关指南和专家共识多侧重于碘对比剂安全使用的总体原则、风险评估、预防策略、临床诊疗处置或医学管理建议；既有护理操作规范则多聚焦于影像检查场景下碘对比剂静脉使用的护理流程。与上述文件不同，本文件以心血管介入术中突发过敏性休克这一高危、即时、团队协作要求高的专科场景为核心，重点规范导管室护理人员在急救启动、生命体征监测、气道与循环支持、抢救药物管理、医护配合、职责分工、记录交接及特殊人群护理中的具体执行要求。</w:t>
      </w:r>
    </w:p>
    <w:p>
      <w:pPr>
        <w:widowControl/>
        <w:spacing w:after="0" w:line="360" w:lineRule="auto"/>
        <w:ind w:firstLine="420"/>
        <w:jc w:val="left"/>
        <w:rPr>
          <w:rFonts w:ascii="Times New Roman" w:hAnsi="Times New Roman" w:eastAsia="宋体" w:cs="Times New Roman"/>
          <w:color w:val="000000"/>
          <w:kern w:val="0"/>
          <w:szCs w:val="20"/>
        </w:rPr>
      </w:pPr>
      <w:r>
        <w:rPr>
          <w:rFonts w:hint="eastAsia" w:ascii="Times New Roman" w:hAnsi="Times New Roman" w:eastAsia="宋体" w:cs="Times New Roman"/>
          <w:color w:val="000000"/>
          <w:kern w:val="0"/>
          <w:szCs w:val="20"/>
        </w:rPr>
        <w:t>因此，本文件并非对既有指南、共识或操作规范的简单重复，而是在其原则性要求基础上，结合心血管介入导管室的空间环境、手术流程、病情变化特点和团队协作模式，形成面向护理团队实际操作的标准化急救配合规范。通过建立统一、清晰、可执行的护理流程和协作机制，使心血管介入护理团队的应急处置能力从依赖个人经验提升至科学管理和团队标准化响应层面。</w:t>
      </w:r>
      <w:r>
        <w:rPr>
          <w:rFonts w:ascii="Times New Roman" w:hAnsi="Times New Roman" w:eastAsia="宋体" w:cs="Times New Roman"/>
          <w:color w:val="000000"/>
          <w:kern w:val="0"/>
          <w:szCs w:val="20"/>
        </w:rPr>
        <w:t>。</w:t>
      </w:r>
    </w:p>
    <w:p>
      <w:pPr>
        <w:widowControl/>
        <w:spacing w:after="0" w:line="360" w:lineRule="auto"/>
        <w:ind w:firstLine="400"/>
        <w:jc w:val="left"/>
        <w:rPr>
          <w:rFonts w:ascii="Times New Roman" w:hAnsi="Times New Roman" w:eastAsia="宋体" w:cs="Times New Roman"/>
          <w:color w:val="000000"/>
          <w:kern w:val="0"/>
          <w:szCs w:val="20"/>
        </w:rPr>
      </w:pPr>
      <w:r>
        <w:rPr>
          <w:rFonts w:hint="eastAsia" w:ascii="Times New Roman" w:hAnsi="Times New Roman" w:eastAsia="宋体" w:cs="Times New Roman"/>
          <w:color w:val="000000"/>
          <w:kern w:val="0"/>
          <w:szCs w:val="20"/>
        </w:rPr>
        <w:t>本文件在总结国内多中心心血管介入护理经验基础上，参考相关指南与专家共识文件，结合心脏介入手术的高风险特点，对术中过敏性休克的风险识别、急救处理、操作配合以及特殊人群的管理进行规范化描述，旨在提高导管室急救护理质量，提升患者安全水平。</w:t>
      </w:r>
    </w:p>
    <w:p>
      <w:pPr>
        <w:widowControl/>
        <w:spacing w:after="120" w:line="360" w:lineRule="exact"/>
        <w:ind w:firstLine="400"/>
        <w:jc w:val="left"/>
        <w:rPr>
          <w:rFonts w:ascii="Times New Roman" w:hAnsi="Times New Roman" w:eastAsia="宋体" w:cs="Times New Roman"/>
          <w:color w:val="000000"/>
          <w:kern w:val="0"/>
          <w:szCs w:val="20"/>
        </w:rPr>
      </w:pPr>
    </w:p>
    <w:p>
      <w:pPr>
        <w:pStyle w:val="33"/>
        <w:numPr>
          <w:ilvl w:val="0"/>
          <w:numId w:val="0"/>
        </w:numPr>
        <w:jc w:val="both"/>
        <w:rPr>
          <w:rFonts w:ascii="Times New Roman"/>
        </w:rPr>
        <w:sectPr>
          <w:headerReference r:id="rId9" w:type="default"/>
          <w:footerReference r:id="rId10" w:type="default"/>
          <w:pgSz w:w="11906" w:h="16838"/>
          <w:pgMar w:top="1440" w:right="1797" w:bottom="1440" w:left="1797" w:header="851" w:footer="992" w:gutter="0"/>
          <w:pgNumType w:fmt="upperRoman" w:start="1"/>
          <w:cols w:space="425" w:num="1"/>
          <w:docGrid w:linePitch="312" w:charSpace="0"/>
        </w:sectPr>
      </w:pPr>
      <w:bookmarkStart w:id="10" w:name="_Toc510534528"/>
      <w:bookmarkStart w:id="11" w:name="_Toc459724774"/>
      <w:bookmarkStart w:id="12" w:name="_Toc459704603"/>
      <w:bookmarkStart w:id="13" w:name="_Toc509933849"/>
      <w:bookmarkStart w:id="14" w:name="_Toc459720143"/>
    </w:p>
    <w:p>
      <w:pPr>
        <w:pStyle w:val="26"/>
        <w:ind w:firstLine="560"/>
        <w:rPr>
          <w:rFonts w:ascii="黑体" w:hAnsi="黑体"/>
          <w:sz w:val="28"/>
          <w:szCs w:val="28"/>
        </w:rPr>
      </w:pPr>
      <w:r>
        <w:rPr>
          <w:rFonts w:hint="eastAsia" w:ascii="黑体" w:hAnsi="黑体" w:eastAsia="黑体"/>
          <w:sz w:val="28"/>
          <w:szCs w:val="28"/>
        </w:rPr>
        <w:t>心血管介入术中碘对比剂过敏性休克急救护理配合规范</w:t>
      </w:r>
    </w:p>
    <w:p>
      <w:pPr>
        <w:pStyle w:val="25"/>
        <w:numPr>
          <w:ilvl w:val="0"/>
          <w:numId w:val="3"/>
        </w:numPr>
        <w:spacing w:before="240" w:beforeLines="100" w:after="240" w:afterLines="100"/>
        <w:rPr>
          <w:rFonts w:ascii="Times New Roman"/>
        </w:rPr>
      </w:pPr>
      <w:bookmarkStart w:id="15" w:name="_Toc230724084"/>
      <w:r>
        <w:rPr>
          <w:rFonts w:hint="eastAsia" w:ascii="Times New Roman"/>
        </w:rPr>
        <w:t>适用</w:t>
      </w:r>
      <w:r>
        <w:rPr>
          <w:rFonts w:ascii="Times New Roman"/>
        </w:rPr>
        <w:t>范围</w:t>
      </w:r>
      <w:bookmarkEnd w:id="10"/>
      <w:bookmarkEnd w:id="11"/>
      <w:bookmarkEnd w:id="12"/>
      <w:bookmarkEnd w:id="13"/>
      <w:bookmarkEnd w:id="14"/>
      <w:bookmarkEnd w:id="15"/>
    </w:p>
    <w:p>
      <w:pPr>
        <w:widowControl/>
        <w:spacing w:after="120" w:line="360" w:lineRule="exact"/>
        <w:ind w:firstLine="420"/>
        <w:jc w:val="left"/>
        <w:rPr>
          <w:rFonts w:ascii="Times New Roman" w:hAnsi="Times New Roman" w:eastAsia="宋体" w:cs="Times New Roman"/>
          <w:color w:val="000000"/>
          <w:kern w:val="0"/>
          <w:szCs w:val="20"/>
        </w:rPr>
      </w:pPr>
      <w:bookmarkStart w:id="16" w:name="_Toc509933850"/>
      <w:bookmarkStart w:id="17" w:name="_Toc459724775"/>
      <w:bookmarkStart w:id="18" w:name="_Toc459720144"/>
      <w:bookmarkStart w:id="19" w:name="_Toc510534529"/>
      <w:bookmarkStart w:id="20" w:name="_Toc459704604"/>
      <w:r>
        <w:rPr>
          <w:rFonts w:hint="eastAsia" w:ascii="Times New Roman" w:hAnsi="Times New Roman" w:eastAsia="宋体" w:cs="Times New Roman"/>
          <w:color w:val="000000"/>
          <w:kern w:val="0"/>
          <w:szCs w:val="20"/>
        </w:rPr>
        <w:t>本文件规定了心血管介入术中碘对比剂过敏性休克的急性风险识别、急救处置流程、护理配合要点、抢救物品准备以及特殊人群的护理管理要求</w:t>
      </w:r>
      <w:r>
        <w:rPr>
          <w:rFonts w:ascii="Times New Roman" w:hAnsi="Times New Roman" w:eastAsia="宋体" w:cs="Times New Roman"/>
          <w:color w:val="000000"/>
          <w:kern w:val="0"/>
          <w:szCs w:val="20"/>
        </w:rPr>
        <w:t>。</w:t>
      </w:r>
    </w:p>
    <w:p>
      <w:pPr>
        <w:widowControl/>
        <w:spacing w:after="120" w:line="360" w:lineRule="exact"/>
        <w:ind w:firstLine="420"/>
        <w:jc w:val="left"/>
        <w:rPr>
          <w:rFonts w:ascii="Times New Roman" w:hAnsi="Times New Roman" w:eastAsia="宋体" w:cs="Times New Roman"/>
          <w:color w:val="000000"/>
          <w:kern w:val="0"/>
          <w:szCs w:val="20"/>
        </w:rPr>
      </w:pPr>
      <w:r>
        <w:rPr>
          <w:rFonts w:hint="eastAsia" w:ascii="Times New Roman" w:hAnsi="Times New Roman" w:eastAsia="宋体" w:cs="Times New Roman"/>
          <w:color w:val="000000"/>
          <w:kern w:val="0"/>
          <w:szCs w:val="20"/>
        </w:rPr>
        <w:t>本文件适用于开展如下需使用含碘对比剂的心血管经皮介入诊疗操作的医疗机构及相关医护人员，</w:t>
      </w:r>
      <w:r>
        <w:t>实施介入手术术中碘对比剂过敏性休克急救护理的规范性操作指引</w:t>
      </w:r>
      <w:r>
        <w:rPr>
          <w:rFonts w:ascii="Times New Roman" w:hAnsi="Times New Roman" w:eastAsia="宋体" w:cs="Times New Roman"/>
          <w:color w:val="000000"/>
          <w:kern w:val="0"/>
          <w:szCs w:val="20"/>
        </w:rPr>
        <w:t>：</w:t>
      </w:r>
    </w:p>
    <w:p>
      <w:pPr>
        <w:widowControl/>
        <w:spacing w:after="120" w:line="360" w:lineRule="exact"/>
        <w:ind w:left="420"/>
        <w:jc w:val="left"/>
        <w:rPr>
          <w:rFonts w:ascii="Times New Roman" w:hAnsi="Times New Roman" w:eastAsia="宋体" w:cs="Times New Roman"/>
          <w:color w:val="000000"/>
          <w:kern w:val="0"/>
          <w:szCs w:val="20"/>
        </w:rPr>
      </w:pPr>
      <w:r>
        <w:rPr>
          <w:rFonts w:ascii="Times New Roman" w:hAnsi="Times New Roman" w:eastAsia="宋体" w:cs="Times New Roman"/>
          <w:color w:val="000000"/>
          <w:kern w:val="0"/>
          <w:szCs w:val="20"/>
        </w:rPr>
        <w:t xml:space="preserve">— </w:t>
      </w:r>
      <w:r>
        <w:rPr>
          <w:rFonts w:hint="eastAsia" w:ascii="Times New Roman" w:hAnsi="Times New Roman" w:eastAsia="宋体" w:cs="Times New Roman"/>
          <w:color w:val="000000"/>
          <w:kern w:val="0"/>
          <w:szCs w:val="20"/>
        </w:rPr>
        <w:t>冠状动脉造影（</w:t>
      </w:r>
      <w:r>
        <w:rPr>
          <w:rFonts w:ascii="Times New Roman" w:hAnsi="Times New Roman" w:eastAsia="宋体" w:cs="Times New Roman"/>
          <w:color w:val="000000"/>
          <w:kern w:val="0"/>
          <w:szCs w:val="20"/>
        </w:rPr>
        <w:t>CAG</w:t>
      </w:r>
      <w:r>
        <w:rPr>
          <w:rFonts w:hint="eastAsia" w:ascii="Times New Roman" w:hAnsi="Times New Roman" w:eastAsia="宋体" w:cs="Times New Roman"/>
          <w:color w:val="000000"/>
          <w:kern w:val="0"/>
          <w:szCs w:val="20"/>
        </w:rPr>
        <w:t>）</w:t>
      </w:r>
      <w:r>
        <w:rPr>
          <w:rFonts w:ascii="Times New Roman" w:hAnsi="Times New Roman" w:eastAsia="宋体" w:cs="Times New Roman"/>
          <w:color w:val="000000"/>
          <w:kern w:val="0"/>
          <w:szCs w:val="20"/>
        </w:rPr>
        <w:br w:type="textWrapping"/>
      </w:r>
      <w:r>
        <w:rPr>
          <w:rFonts w:ascii="Times New Roman" w:hAnsi="Times New Roman" w:eastAsia="宋体" w:cs="Times New Roman"/>
          <w:color w:val="000000"/>
          <w:kern w:val="0"/>
          <w:szCs w:val="20"/>
        </w:rPr>
        <w:t xml:space="preserve">— </w:t>
      </w:r>
      <w:r>
        <w:rPr>
          <w:rFonts w:hint="eastAsia" w:ascii="Times New Roman" w:hAnsi="Times New Roman" w:eastAsia="宋体" w:cs="Times New Roman"/>
          <w:color w:val="000000"/>
          <w:kern w:val="0"/>
          <w:szCs w:val="20"/>
        </w:rPr>
        <w:t>经皮冠状动脉介入治疗（</w:t>
      </w:r>
      <w:r>
        <w:rPr>
          <w:rFonts w:ascii="Times New Roman" w:hAnsi="Times New Roman" w:eastAsia="宋体" w:cs="Times New Roman"/>
          <w:color w:val="000000"/>
          <w:kern w:val="0"/>
          <w:szCs w:val="20"/>
        </w:rPr>
        <w:t>PCI</w:t>
      </w:r>
      <w:r>
        <w:rPr>
          <w:rFonts w:hint="eastAsia" w:ascii="Times New Roman" w:hAnsi="Times New Roman" w:eastAsia="宋体" w:cs="Times New Roman"/>
          <w:color w:val="000000"/>
          <w:kern w:val="0"/>
          <w:szCs w:val="20"/>
        </w:rPr>
        <w:t>）</w:t>
      </w:r>
      <w:r>
        <w:rPr>
          <w:rFonts w:ascii="Times New Roman" w:hAnsi="Times New Roman" w:eastAsia="宋体" w:cs="Times New Roman"/>
          <w:color w:val="000000"/>
          <w:kern w:val="0"/>
          <w:szCs w:val="20"/>
        </w:rPr>
        <w:br w:type="textWrapping"/>
      </w:r>
      <w:r>
        <w:rPr>
          <w:rFonts w:ascii="Times New Roman" w:hAnsi="Times New Roman" w:eastAsia="宋体" w:cs="Times New Roman"/>
          <w:color w:val="000000"/>
          <w:kern w:val="0"/>
          <w:szCs w:val="20"/>
        </w:rPr>
        <w:t xml:space="preserve">— </w:t>
      </w:r>
      <w:r>
        <w:rPr>
          <w:rFonts w:hint="eastAsia" w:ascii="Times New Roman" w:hAnsi="Times New Roman" w:eastAsia="宋体" w:cs="Times New Roman"/>
          <w:color w:val="000000"/>
          <w:kern w:val="0"/>
          <w:szCs w:val="20"/>
        </w:rPr>
        <w:t>结构性心脏病介入治疗/经导管瓣膜治疗，</w:t>
      </w:r>
      <w:r>
        <w:rPr>
          <w:rFonts w:ascii="Times New Roman" w:hAnsi="Times New Roman" w:eastAsia="宋体" w:cs="Times New Roman"/>
          <w:color w:val="000000"/>
          <w:kern w:val="0"/>
          <w:szCs w:val="20"/>
        </w:rPr>
        <w:t>如经导管主动脉瓣置换术（TAVR）等</w:t>
      </w:r>
    </w:p>
    <w:p>
      <w:pPr>
        <w:widowControl/>
        <w:spacing w:after="120" w:line="360" w:lineRule="exact"/>
        <w:ind w:left="420"/>
        <w:jc w:val="left"/>
        <w:rPr>
          <w:rFonts w:ascii="Times New Roman" w:hAnsi="Times New Roman" w:eastAsia="宋体" w:cs="Times New Roman"/>
          <w:color w:val="000000"/>
          <w:kern w:val="0"/>
          <w:szCs w:val="20"/>
        </w:rPr>
      </w:pPr>
      <w:r>
        <w:rPr>
          <w:rFonts w:ascii="Times New Roman" w:hAnsi="Times New Roman" w:eastAsia="宋体" w:cs="Times New Roman"/>
          <w:color w:val="000000"/>
          <w:kern w:val="0"/>
          <w:szCs w:val="20"/>
        </w:rPr>
        <w:t xml:space="preserve">— </w:t>
      </w:r>
      <w:r>
        <w:rPr>
          <w:rFonts w:hint="eastAsia" w:ascii="Times New Roman" w:hAnsi="Times New Roman" w:eastAsia="宋体" w:cs="Times New Roman"/>
          <w:color w:val="000000"/>
          <w:kern w:val="0"/>
          <w:szCs w:val="20"/>
        </w:rPr>
        <w:t>心脏电生理介入治疗</w:t>
      </w:r>
      <w:r>
        <w:rPr>
          <w:rFonts w:ascii="Times New Roman" w:hAnsi="Times New Roman" w:eastAsia="宋体" w:cs="Times New Roman"/>
          <w:color w:val="000000"/>
          <w:kern w:val="0"/>
          <w:szCs w:val="20"/>
        </w:rPr>
        <w:br w:type="textWrapping"/>
      </w:r>
      <w:r>
        <w:rPr>
          <w:rFonts w:ascii="Times New Roman" w:hAnsi="Times New Roman" w:eastAsia="宋体" w:cs="Times New Roman"/>
          <w:color w:val="000000"/>
          <w:kern w:val="0"/>
          <w:szCs w:val="20"/>
        </w:rPr>
        <w:t xml:space="preserve">— </w:t>
      </w:r>
      <w:r>
        <w:rPr>
          <w:rFonts w:hint="eastAsia" w:ascii="Times New Roman" w:hAnsi="Times New Roman" w:eastAsia="宋体" w:cs="Times New Roman"/>
          <w:color w:val="000000"/>
          <w:kern w:val="0"/>
          <w:szCs w:val="20"/>
        </w:rPr>
        <w:t>术中需应用碘对比剂的复合手术室或导管室相关操作</w:t>
      </w:r>
    </w:p>
    <w:p>
      <w:pPr>
        <w:pStyle w:val="25"/>
        <w:numPr>
          <w:ilvl w:val="0"/>
          <w:numId w:val="3"/>
        </w:numPr>
        <w:spacing w:before="240" w:beforeLines="100" w:after="240" w:afterLines="100"/>
        <w:rPr>
          <w:rFonts w:ascii="Times New Roman"/>
        </w:rPr>
      </w:pPr>
      <w:bookmarkStart w:id="21" w:name="_Toc230724085"/>
      <w:r>
        <w:rPr>
          <w:rFonts w:ascii="Times New Roman"/>
        </w:rPr>
        <w:t>规范性引用文件</w:t>
      </w:r>
      <w:bookmarkEnd w:id="16"/>
      <w:bookmarkEnd w:id="17"/>
      <w:bookmarkEnd w:id="18"/>
      <w:bookmarkEnd w:id="19"/>
      <w:bookmarkEnd w:id="20"/>
      <w:bookmarkEnd w:id="21"/>
    </w:p>
    <w:p>
      <w:pPr>
        <w:pStyle w:val="26"/>
        <w:tabs>
          <w:tab w:val="center" w:pos="4201"/>
          <w:tab w:val="right" w:leader="dot" w:pos="9298"/>
        </w:tabs>
        <w:spacing w:after="120" w:line="360" w:lineRule="exact"/>
        <w:ind w:firstLine="420"/>
        <w:rPr>
          <w:rFonts w:ascii="Times New Roman"/>
          <w:color w:val="000000"/>
        </w:rPr>
      </w:pPr>
      <w:bookmarkStart w:id="22" w:name="_Toc459704605"/>
      <w:bookmarkEnd w:id="22"/>
      <w:bookmarkStart w:id="23" w:name="_Toc459724776"/>
      <w:bookmarkStart w:id="24" w:name="_Toc459720145"/>
      <w:r>
        <w:rPr>
          <w:rFonts w:hint="eastAsia" w:ascii="Times New Roman"/>
          <w:color w:val="000000"/>
        </w:rPr>
        <w:t>下列</w:t>
      </w:r>
      <w:r>
        <w:rPr>
          <w:rFonts w:hint="eastAsia"/>
        </w:rPr>
        <w:t>中的内容通过文中的规范性引用而构成本文件必不可少的条款</w:t>
      </w:r>
      <w:r>
        <w:rPr>
          <w:rFonts w:hint="eastAsia" w:ascii="Times New Roman"/>
          <w:color w:val="000000"/>
        </w:rPr>
        <w:t>。</w:t>
      </w:r>
      <w:r>
        <w:rPr>
          <w:rFonts w:hint="eastAsia"/>
        </w:rPr>
        <w:t>其中，注日期的引用文件，仅该日期对应的版本适用于本文件；</w:t>
      </w:r>
      <w:r>
        <w:rPr>
          <w:rFonts w:hint="eastAsia" w:ascii="Times New Roman"/>
          <w:color w:val="000000"/>
        </w:rPr>
        <w:t>不注日期的引用文件，其最新版本（包括所有的修改单）适用于本文件。</w:t>
      </w:r>
    </w:p>
    <w:p>
      <w:pPr>
        <w:pStyle w:val="26"/>
        <w:tabs>
          <w:tab w:val="center" w:pos="4201"/>
          <w:tab w:val="right" w:leader="dot" w:pos="9298"/>
        </w:tabs>
        <w:spacing w:after="120" w:line="360" w:lineRule="exact"/>
        <w:ind w:firstLine="420"/>
        <w:rPr>
          <w:rFonts w:ascii="Times New Roman"/>
          <w:color w:val="000000"/>
          <w:lang w:val="zh-CN"/>
        </w:rPr>
      </w:pPr>
      <w:r>
        <w:rPr>
          <w:rFonts w:ascii="Times New Roman"/>
          <w:color w:val="000000"/>
        </w:rPr>
        <w:t>T/GDPMAA 0008—2021</w:t>
      </w:r>
      <w:r>
        <w:rPr>
          <w:rFonts w:hint="eastAsia" w:ascii="Times New Roman"/>
          <w:color w:val="000000"/>
        </w:rPr>
        <w:t xml:space="preserve"> 影像检查碘对比剂静脉使用护理规范</w:t>
      </w:r>
    </w:p>
    <w:p>
      <w:pPr>
        <w:pStyle w:val="25"/>
        <w:numPr>
          <w:ilvl w:val="0"/>
          <w:numId w:val="3"/>
        </w:numPr>
        <w:spacing w:before="240" w:beforeLines="100" w:after="240" w:afterLines="100"/>
        <w:rPr>
          <w:rFonts w:ascii="Times New Roman"/>
        </w:rPr>
      </w:pPr>
      <w:bookmarkStart w:id="25" w:name="_Toc509933851"/>
      <w:bookmarkStart w:id="26" w:name="_Toc230724086"/>
      <w:bookmarkStart w:id="27" w:name="_Toc510534530"/>
      <w:bookmarkStart w:id="28" w:name="_Toc436205037"/>
      <w:r>
        <w:rPr>
          <w:rFonts w:hint="eastAsia" w:ascii="Times New Roman"/>
        </w:rPr>
        <w:t>术语和定义</w:t>
      </w:r>
      <w:bookmarkEnd w:id="25"/>
      <w:bookmarkEnd w:id="26"/>
      <w:bookmarkEnd w:id="27"/>
      <w:bookmarkEnd w:id="28"/>
    </w:p>
    <w:p>
      <w:pPr>
        <w:pStyle w:val="26"/>
        <w:spacing w:after="120" w:line="360" w:lineRule="exact"/>
        <w:ind w:firstLine="420"/>
      </w:pPr>
      <w:bookmarkStart w:id="29" w:name="_Hlk92788667"/>
      <w:r>
        <w:rPr>
          <w:rFonts w:hint="eastAsia"/>
        </w:rPr>
        <w:t>下列术语和定义适用于本文件。</w:t>
      </w:r>
    </w:p>
    <w:bookmarkEnd w:id="29"/>
    <w:p>
      <w:pPr>
        <w:pStyle w:val="26"/>
        <w:spacing w:after="120" w:line="360" w:lineRule="exact"/>
        <w:ind w:firstLine="0" w:firstLineChars="0"/>
        <w:rPr>
          <w:rFonts w:ascii="黑体" w:hAnsi="黑体" w:eastAsia="黑体" w:cs="黑体"/>
        </w:rPr>
      </w:pPr>
      <w:r>
        <w:rPr>
          <w:rFonts w:hint="eastAsia" w:ascii="黑体" w:hAnsi="黑体" w:eastAsia="黑体" w:cs="黑体"/>
        </w:rPr>
        <w:t>3.1 心血管介入手术 cardiovascular interventional surgery</w:t>
      </w:r>
    </w:p>
    <w:p>
      <w:pPr>
        <w:pStyle w:val="26"/>
        <w:spacing w:after="120" w:line="360" w:lineRule="exact"/>
        <w:ind w:firstLine="420"/>
      </w:pPr>
      <w:r>
        <w:rPr>
          <w:rFonts w:hint="eastAsia"/>
        </w:rPr>
        <w:t>经血管穿刺路径，利用导管、导丝等器械进入心腔或血管内进行诊断或治疗的操作技术总称。</w:t>
      </w:r>
    </w:p>
    <w:p>
      <w:pPr>
        <w:pStyle w:val="26"/>
        <w:spacing w:after="120" w:line="360" w:lineRule="exact"/>
        <w:ind w:firstLine="0" w:firstLineChars="0"/>
        <w:rPr>
          <w:rFonts w:ascii="黑体" w:hAnsi="黑体" w:eastAsia="黑体" w:cs="黑体"/>
        </w:rPr>
      </w:pPr>
      <w:r>
        <w:rPr>
          <w:rFonts w:hint="eastAsia" w:ascii="黑体" w:hAnsi="黑体" w:eastAsia="黑体" w:cs="黑体"/>
        </w:rPr>
        <w:t>3.2 碘对比剂 ICM</w:t>
      </w:r>
      <w:r>
        <w:rPr>
          <w:rFonts w:ascii="黑体" w:hAnsi="黑体" w:eastAsia="黑体" w:cs="黑体"/>
        </w:rPr>
        <w:t>,</w:t>
      </w:r>
      <w:r>
        <w:rPr>
          <w:rFonts w:hint="eastAsia" w:ascii="黑体" w:hAnsi="黑体" w:eastAsia="黑体" w:cs="黑体"/>
        </w:rPr>
        <w:t xml:space="preserve"> iodinated contrast media</w:t>
      </w:r>
    </w:p>
    <w:p>
      <w:pPr>
        <w:pStyle w:val="26"/>
        <w:spacing w:after="120" w:line="360" w:lineRule="exact"/>
        <w:ind w:firstLine="420"/>
      </w:pPr>
      <w:r>
        <w:rPr>
          <w:rFonts w:hint="eastAsia"/>
        </w:rPr>
        <w:t>在X射线成像检查中，为增强组织结构影像对比度，经血管注入的含碘制剂。</w:t>
      </w:r>
    </w:p>
    <w:p>
      <w:pPr>
        <w:pStyle w:val="26"/>
        <w:spacing w:after="120" w:line="360" w:lineRule="exact"/>
        <w:ind w:firstLine="0" w:firstLineChars="0"/>
        <w:rPr>
          <w:rFonts w:ascii="黑体" w:hAnsi="黑体" w:eastAsia="黑体" w:cs="黑体"/>
        </w:rPr>
      </w:pPr>
      <w:r>
        <w:rPr>
          <w:rFonts w:hint="eastAsia" w:ascii="黑体" w:hAnsi="黑体" w:eastAsia="黑体" w:cs="黑体"/>
        </w:rPr>
        <w:t>3.3 碘对比剂过敏样反应（Allergic-like Reactions to Iodinated Contrast Media）</w:t>
      </w:r>
    </w:p>
    <w:p>
      <w:pPr>
        <w:pStyle w:val="26"/>
        <w:spacing w:after="120" w:line="360" w:lineRule="exact"/>
        <w:ind w:firstLine="420"/>
      </w:pPr>
      <w:r>
        <w:rPr>
          <w:rFonts w:hint="eastAsia"/>
        </w:rPr>
        <w:t>由碘对比剂引发的、临床表现</w:t>
      </w:r>
      <w:r>
        <w:t>具有与过敏反应相似的临床表现</w:t>
      </w:r>
      <w:r>
        <w:rPr>
          <w:rFonts w:hint="eastAsia"/>
        </w:rPr>
        <w:t>。</w:t>
      </w:r>
    </w:p>
    <w:p>
      <w:pPr>
        <w:pStyle w:val="26"/>
        <w:spacing w:after="120" w:line="360" w:lineRule="exact"/>
        <w:ind w:firstLine="420"/>
      </w:pPr>
      <w:r>
        <w:rPr>
          <w:rFonts w:hint="eastAsia"/>
        </w:rPr>
        <w:t>注：</w:t>
      </w:r>
      <w:r>
        <w:t>之所以称为</w:t>
      </w:r>
      <w:r>
        <w:rPr>
          <w:rFonts w:hint="eastAsia"/>
        </w:rPr>
        <w:t>“</w:t>
      </w:r>
      <w:r>
        <w:t>过敏样</w:t>
      </w:r>
      <w:r>
        <w:rPr>
          <w:rFonts w:hint="eastAsia"/>
        </w:rPr>
        <w:t>”</w:t>
      </w:r>
      <w:r>
        <w:t>而非直接称</w:t>
      </w:r>
      <w:r>
        <w:rPr>
          <w:rFonts w:hint="eastAsia"/>
        </w:rPr>
        <w:t>“</w:t>
      </w:r>
      <w:r>
        <w:t>过敏</w:t>
      </w:r>
      <w:r>
        <w:rPr>
          <w:rFonts w:hint="eastAsia"/>
        </w:rPr>
        <w:t>”</w:t>
      </w:r>
      <w:r>
        <w:t>，是因为其往往具有特异体质性（idiosyncratic），且尽管临床表现相似，但免疫学机制可能不同于真正过敏</w:t>
      </w:r>
      <w:r>
        <w:rPr>
          <w:rFonts w:hint="eastAsia"/>
        </w:rPr>
        <w:t>。</w:t>
      </w:r>
    </w:p>
    <w:p>
      <w:pPr>
        <w:pStyle w:val="26"/>
        <w:spacing w:after="120" w:line="360" w:lineRule="exact"/>
        <w:ind w:firstLine="0" w:firstLineChars="0"/>
        <w:rPr>
          <w:rFonts w:ascii="黑体" w:hAnsi="黑体" w:eastAsia="黑体" w:cs="黑体"/>
        </w:rPr>
      </w:pPr>
      <w:r>
        <w:rPr>
          <w:rFonts w:hint="eastAsia" w:ascii="黑体" w:hAnsi="黑体" w:eastAsia="黑体" w:cs="黑体"/>
        </w:rPr>
        <w:t>3.4 过敏性休克 Anaphylactic Shock</w:t>
      </w:r>
    </w:p>
    <w:p>
      <w:pPr>
        <w:pStyle w:val="26"/>
        <w:spacing w:after="120" w:line="360" w:lineRule="exact"/>
        <w:ind w:firstLine="420"/>
      </w:pPr>
      <w:r>
        <w:rPr>
          <w:rFonts w:hint="eastAsia"/>
        </w:rPr>
        <w:t>由过敏样反应引起的体内有效循环血容量减少，而使得心、脑、肝、肾等重要器官得不到足够的血液供应的状态。</w:t>
      </w:r>
      <w:r>
        <w:t>注：本标准中所 指过敏性休克，包括由真正过敏反应（IgE介导）和类过敏反应（非免疫介导）引起的临床综合征，两者的急救处理原则相同。</w:t>
      </w:r>
    </w:p>
    <w:p>
      <w:pPr>
        <w:pStyle w:val="26"/>
        <w:spacing w:after="120" w:line="360" w:lineRule="exact"/>
        <w:ind w:firstLine="0" w:firstLineChars="0"/>
        <w:rPr>
          <w:rFonts w:ascii="黑体" w:hAnsi="黑体" w:eastAsia="黑体" w:cs="黑体"/>
        </w:rPr>
      </w:pPr>
      <w:r>
        <w:rPr>
          <w:rFonts w:hint="eastAsia" w:ascii="黑体" w:hAnsi="黑体" w:eastAsia="黑体" w:cs="黑体"/>
        </w:rPr>
        <w:t>3.5 对比剂相关急性肾损伤 CA-AKI, Contrast-Associated Acute Kidney Injury</w:t>
      </w:r>
    </w:p>
    <w:p>
      <w:pPr>
        <w:pStyle w:val="26"/>
        <w:spacing w:after="120" w:line="360" w:lineRule="exact"/>
        <w:ind w:firstLine="420"/>
      </w:pPr>
      <w:r>
        <w:rPr>
          <w:rFonts w:hint="eastAsia"/>
        </w:rPr>
        <w:t>既往称为对比剂后急性肾损伤（post-contrast acute kidney injury，PC-AKI），是一个广义术语，用于描述在血管内给予碘对比剂后48小时内出现的肾功能突然恶化。无论该肾功能恶化是否由对比剂直接导致，均可发生 CA-AKI。</w:t>
      </w:r>
    </w:p>
    <w:p>
      <w:pPr>
        <w:pStyle w:val="25"/>
        <w:numPr>
          <w:ilvl w:val="0"/>
          <w:numId w:val="3"/>
        </w:numPr>
        <w:spacing w:before="240" w:beforeLines="100" w:after="240" w:afterLines="100"/>
        <w:rPr>
          <w:rFonts w:ascii="Times New Roman"/>
        </w:rPr>
      </w:pPr>
      <w:bookmarkStart w:id="30" w:name="_Toc230724087"/>
      <w:r>
        <w:rPr>
          <w:rFonts w:hint="eastAsia" w:ascii="Times New Roman"/>
        </w:rPr>
        <w:t>术中风险识别</w:t>
      </w:r>
      <w:bookmarkEnd w:id="30"/>
    </w:p>
    <w:p>
      <w:pPr>
        <w:pStyle w:val="26"/>
        <w:numPr>
          <w:ilvl w:val="1"/>
          <w:numId w:val="3"/>
        </w:numPr>
        <w:spacing w:after="120" w:line="360" w:lineRule="exact"/>
        <w:ind w:firstLineChars="0"/>
        <w:rPr>
          <w:rFonts w:ascii="黑体" w:hAnsi="黑体" w:eastAsia="黑体" w:cs="黑体"/>
        </w:rPr>
      </w:pPr>
      <w:r>
        <w:rPr>
          <w:rFonts w:hint="eastAsia" w:ascii="黑体" w:hAnsi="黑体" w:eastAsia="黑体" w:cs="黑体"/>
        </w:rPr>
        <w:t>对比剂不良反应分类</w:t>
      </w:r>
    </w:p>
    <w:p>
      <w:pPr>
        <w:pStyle w:val="26"/>
        <w:numPr>
          <w:ilvl w:val="2"/>
          <w:numId w:val="0"/>
        </w:numPr>
        <w:spacing w:after="120" w:line="360" w:lineRule="exact"/>
        <w:rPr>
          <w:rFonts w:ascii="黑体" w:hAnsi="黑体" w:eastAsia="黑体" w:cs="黑体"/>
          <w:szCs w:val="22"/>
        </w:rPr>
      </w:pPr>
      <w:r>
        <w:rPr>
          <w:rFonts w:hint="eastAsia" w:ascii="黑体" w:hAnsi="黑体" w:eastAsia="黑体" w:cs="黑体"/>
          <w:szCs w:val="22"/>
        </w:rPr>
        <w:t>4.1.1 按照发生机制分类</w:t>
      </w:r>
    </w:p>
    <w:p>
      <w:pPr>
        <w:pStyle w:val="26"/>
        <w:tabs>
          <w:tab w:val="left" w:pos="284"/>
        </w:tabs>
        <w:spacing w:after="120" w:line="360" w:lineRule="exact"/>
        <w:ind w:firstLine="0" w:firstLineChars="0"/>
        <w:rPr>
          <w:rFonts w:ascii="黑体" w:hAnsi="黑体" w:eastAsia="黑体" w:cs="黑体"/>
        </w:rPr>
      </w:pPr>
      <w:r>
        <w:rPr>
          <w:rFonts w:hint="eastAsia" w:ascii="黑体" w:hAnsi="黑体" w:eastAsia="黑体" w:cs="黑体"/>
        </w:rPr>
        <w:t>4.1.1.1 特异性/过敏样反应</w:t>
      </w:r>
    </w:p>
    <w:p>
      <w:pPr>
        <w:pStyle w:val="26"/>
        <w:spacing w:after="120" w:line="360" w:lineRule="exact"/>
        <w:ind w:firstLine="420"/>
      </w:pPr>
      <w:r>
        <w:rPr>
          <w:rFonts w:hint="eastAsia"/>
        </w:rPr>
        <w:t>碘对比剂所致的类过敏反应在临床表现上与其他药物或过敏原引起的真正过敏反应相似，但由于并非总能识别出明确的抗原–抗体反应，因此此类对比剂反应被归类为“过敏样”反应。过敏样对比剂反应的治疗原则与相应的真正过敏反应相同。此类反应在超过某一阈值后，与对比剂的剂量和浓度无关。</w:t>
      </w:r>
    </w:p>
    <w:p>
      <w:pPr>
        <w:pStyle w:val="26"/>
        <w:spacing w:after="120" w:line="360" w:lineRule="exact"/>
        <w:ind w:firstLine="0" w:firstLineChars="0"/>
        <w:rPr>
          <w:rFonts w:ascii="黑体" w:hAnsi="黑体" w:eastAsia="黑体" w:cs="黑体"/>
        </w:rPr>
      </w:pPr>
      <w:r>
        <w:rPr>
          <w:rFonts w:hint="eastAsia" w:ascii="黑体" w:hAnsi="黑体" w:eastAsia="黑体" w:cs="黑体"/>
        </w:rPr>
        <w:t>4.1.1.2 非特异性/类生理反应</w:t>
      </w:r>
    </w:p>
    <w:p>
      <w:pPr>
        <w:pStyle w:val="26"/>
        <w:spacing w:after="120" w:line="360" w:lineRule="exact"/>
        <w:ind w:firstLine="420"/>
      </w:pPr>
      <w:r>
        <w:rPr>
          <w:rFonts w:hint="eastAsia"/>
        </w:rPr>
        <w:t>碘对比剂所致生理性反应主要与其分子理化特性相关，包括化学毒性、高渗透压效应及与生物分子结合等机制，且通常与对比剂的剂量和浓度呈相关性。此类反应以心血管系统表现较为突出，在既往存在心脏疾病的患者中更为常见，严重者可出现心律失常、肺水肿或癫痫发作。迷走神经反射反应是最常见的类型。</w:t>
      </w:r>
    </w:p>
    <w:p>
      <w:pPr>
        <w:pStyle w:val="26"/>
        <w:spacing w:after="120" w:line="360" w:lineRule="exact"/>
        <w:ind w:firstLine="0" w:firstLineChars="0"/>
        <w:rPr>
          <w:rFonts w:ascii="黑体" w:hAnsi="黑体" w:eastAsia="黑体" w:cs="黑体"/>
          <w:szCs w:val="22"/>
        </w:rPr>
      </w:pPr>
      <w:r>
        <w:rPr>
          <w:rFonts w:hint="eastAsia" w:ascii="黑体" w:hAnsi="黑体" w:eastAsia="黑体" w:cs="黑体"/>
          <w:szCs w:val="22"/>
        </w:rPr>
        <w:t>4.1.2 按照严重程度分类</w:t>
      </w:r>
    </w:p>
    <w:p>
      <w:pPr>
        <w:pStyle w:val="26"/>
        <w:spacing w:after="120" w:line="360" w:lineRule="exact"/>
        <w:ind w:firstLine="420"/>
      </w:pPr>
      <w:r>
        <w:rPr>
          <w:rFonts w:hint="eastAsia"/>
        </w:rPr>
        <w:t>对比剂不良反应按照严重程度分为轻度、中度和重度三类:</w:t>
      </w:r>
    </w:p>
    <w:p>
      <w:pPr>
        <w:pStyle w:val="26"/>
        <w:numPr>
          <w:ilvl w:val="0"/>
          <w:numId w:val="4"/>
        </w:numPr>
        <w:spacing w:after="120" w:line="360" w:lineRule="exact"/>
        <w:ind w:firstLineChars="0"/>
      </w:pPr>
      <w:r>
        <w:rPr>
          <w:rFonts w:hint="eastAsia"/>
        </w:rPr>
        <w:t>其中轻度体征和症状具有自限性且无进展依据，例如：一过性发热、局限性荨麻疹、轻度瘙痒。</w:t>
      </w:r>
    </w:p>
    <w:p>
      <w:pPr>
        <w:pStyle w:val="26"/>
        <w:numPr>
          <w:ilvl w:val="0"/>
          <w:numId w:val="4"/>
        </w:numPr>
        <w:spacing w:after="120" w:line="360" w:lineRule="exact"/>
        <w:ind w:firstLineChars="0"/>
      </w:pPr>
      <w:r>
        <w:rPr>
          <w:rFonts w:hint="eastAsia"/>
        </w:rPr>
        <w:t>中度体征和症状则更明显，例如：弥漫性荨麻疹、面部水肿、支气管痉挛（轻度）、高血压/低血压（一过性）。</w:t>
      </w:r>
    </w:p>
    <w:p>
      <w:pPr>
        <w:pStyle w:val="26"/>
        <w:numPr>
          <w:ilvl w:val="0"/>
          <w:numId w:val="4"/>
        </w:numPr>
        <w:spacing w:after="120" w:line="360" w:lineRule="exact"/>
        <w:ind w:firstLineChars="0"/>
      </w:pPr>
      <w:r>
        <w:rPr>
          <w:rFonts w:hint="eastAsia"/>
        </w:rPr>
        <w:t>而重度体征和症状通常会危及生命，例如：过敏性休克、喉头水肿、昏迷、心跳呼吸骤停。</w:t>
      </w:r>
    </w:p>
    <w:p>
      <w:pPr>
        <w:pStyle w:val="26"/>
        <w:spacing w:after="120" w:line="360" w:lineRule="exact"/>
        <w:ind w:left="420" w:firstLine="0" w:firstLineChars="0"/>
      </w:pPr>
      <w:r>
        <w:rPr>
          <w:rFonts w:hint="eastAsia"/>
        </w:rPr>
        <w:t>过敏样反应可按以下推荐的分类系统对其严重程度进行分级：</w:t>
      </w:r>
    </w:p>
    <w:p>
      <w:pPr>
        <w:pStyle w:val="26"/>
        <w:numPr>
          <w:ilvl w:val="0"/>
          <w:numId w:val="5"/>
        </w:numPr>
        <w:spacing w:after="120" w:line="360" w:lineRule="exact"/>
        <w:ind w:firstLineChars="0"/>
      </w:pPr>
      <w:r>
        <w:rPr>
          <w:rFonts w:hint="eastAsia"/>
        </w:rPr>
        <w:t>轻度：局限性荨麻疹/瘙痒，局限性皮肤水肿，局限性咽喉“发痒”或“刺痒”，鼻充血，喷嚏/结膜炎/流涕</w:t>
      </w:r>
    </w:p>
    <w:p>
      <w:pPr>
        <w:pStyle w:val="26"/>
        <w:numPr>
          <w:ilvl w:val="0"/>
          <w:numId w:val="5"/>
        </w:numPr>
        <w:spacing w:after="120" w:line="360" w:lineRule="exact"/>
        <w:ind w:firstLineChars="0"/>
      </w:pPr>
      <w:r>
        <w:rPr>
          <w:rFonts w:hint="eastAsia"/>
        </w:rPr>
        <w:t>中度：弥漫性荨麻疹/瘙痒；弥漫性红斑，但生命体征稳定；颜面部水肿，无呼吸困难；咽喉部发紧或声音嘶哑，无呼吸困难；哮鸣/支气管痉挛，无缺氧或轻度缺氧。</w:t>
      </w:r>
    </w:p>
    <w:p>
      <w:pPr>
        <w:pStyle w:val="26"/>
        <w:numPr>
          <w:ilvl w:val="0"/>
          <w:numId w:val="5"/>
        </w:numPr>
        <w:spacing w:after="120" w:line="360" w:lineRule="exact"/>
        <w:ind w:firstLineChars="0"/>
      </w:pPr>
      <w:r>
        <w:rPr>
          <w:rFonts w:hint="eastAsia"/>
        </w:rPr>
        <w:t>重度：弥漫性水肿或颜面部水肿伴呼吸困难，弥漫性红斑伴低血压，喉头水肿伴喘鸣和（或）缺氧，哮鸣/支气管痉挛伴显著缺氧，过敏性休克（低血压+心动过速）。</w:t>
      </w:r>
    </w:p>
    <w:p>
      <w:pPr>
        <w:pStyle w:val="26"/>
        <w:spacing w:after="120" w:line="360" w:lineRule="exact"/>
        <w:ind w:firstLine="0" w:firstLineChars="0"/>
        <w:rPr>
          <w:rFonts w:ascii="黑体" w:hAnsi="黑体" w:eastAsia="黑体" w:cs="黑体"/>
          <w:szCs w:val="22"/>
        </w:rPr>
      </w:pPr>
      <w:r>
        <w:rPr>
          <w:rFonts w:hint="eastAsia" w:ascii="黑体" w:hAnsi="黑体" w:eastAsia="黑体" w:cs="黑体"/>
          <w:szCs w:val="22"/>
        </w:rPr>
        <w:t>4.1.3 按照发生时间分类</w:t>
      </w:r>
    </w:p>
    <w:p>
      <w:pPr>
        <w:pStyle w:val="26"/>
        <w:spacing w:after="120" w:line="360" w:lineRule="exact"/>
        <w:ind w:firstLine="420"/>
      </w:pPr>
      <w:r>
        <w:rPr>
          <w:rFonts w:hint="eastAsia"/>
        </w:rPr>
        <w:t>碘对比剂不良反应按照发生时间分类，分为急性不良反应和迟发性不良反应：</w:t>
      </w:r>
    </w:p>
    <w:p>
      <w:pPr>
        <w:pStyle w:val="26"/>
        <w:numPr>
          <w:ilvl w:val="0"/>
          <w:numId w:val="6"/>
        </w:numPr>
        <w:spacing w:after="120" w:line="360" w:lineRule="exact"/>
        <w:ind w:hanging="14" w:firstLineChars="0"/>
      </w:pPr>
      <w:r>
        <w:rPr>
          <w:rFonts w:hint="eastAsia"/>
        </w:rPr>
        <w:t>急性不良反应发生在对比剂注射后1h内，</w:t>
      </w:r>
    </w:p>
    <w:p>
      <w:pPr>
        <w:pStyle w:val="26"/>
        <w:numPr>
          <w:ilvl w:val="0"/>
          <w:numId w:val="6"/>
        </w:numPr>
        <w:spacing w:after="120" w:line="360" w:lineRule="exact"/>
        <w:ind w:hanging="14" w:firstLineChars="0"/>
      </w:pPr>
      <w:r>
        <w:rPr>
          <w:rFonts w:hint="eastAsia"/>
        </w:rPr>
        <w:t>迟发性不良反应发生在对比剂注射后1h至1周内，偶尔发生在第8周。</w:t>
      </w:r>
    </w:p>
    <w:p>
      <w:pPr>
        <w:pStyle w:val="26"/>
        <w:numPr>
          <w:ilvl w:val="1"/>
          <w:numId w:val="3"/>
        </w:numPr>
        <w:spacing w:after="120" w:line="360" w:lineRule="exact"/>
        <w:ind w:firstLineChars="0"/>
        <w:rPr>
          <w:rFonts w:ascii="黑体" w:hAnsi="黑体" w:eastAsia="黑体" w:cs="黑体"/>
        </w:rPr>
      </w:pPr>
      <w:r>
        <w:rPr>
          <w:rFonts w:hint="eastAsia" w:ascii="黑体" w:hAnsi="黑体" w:eastAsia="黑体" w:cs="黑体"/>
        </w:rPr>
        <w:t>过敏性休克识别要点</w:t>
      </w:r>
    </w:p>
    <w:p>
      <w:pPr>
        <w:pStyle w:val="26"/>
        <w:numPr>
          <w:ilvl w:val="2"/>
          <w:numId w:val="3"/>
        </w:numPr>
        <w:spacing w:after="120" w:line="360" w:lineRule="exact"/>
        <w:ind w:left="0" w:firstLineChars="0"/>
        <w:rPr>
          <w:rFonts w:ascii="黑体" w:hAnsi="黑体" w:eastAsia="黑体" w:cs="黑体"/>
          <w:szCs w:val="22"/>
        </w:rPr>
      </w:pPr>
      <w:r>
        <w:rPr>
          <w:rFonts w:hint="eastAsia" w:ascii="黑体" w:hAnsi="黑体" w:eastAsia="黑体" w:cs="黑体"/>
          <w:szCs w:val="22"/>
        </w:rPr>
        <w:t>关键识别指标</w:t>
      </w:r>
    </w:p>
    <w:p>
      <w:pPr>
        <w:pStyle w:val="26"/>
        <w:numPr>
          <w:ilvl w:val="0"/>
          <w:numId w:val="7"/>
        </w:numPr>
        <w:spacing w:after="120" w:line="360" w:lineRule="exact"/>
        <w:ind w:hanging="14" w:firstLineChars="0"/>
      </w:pPr>
      <w:r>
        <w:rPr>
          <w:rFonts w:hint="eastAsia"/>
        </w:rPr>
        <w:t>循环系统衰竭</w:t>
      </w:r>
      <w:r>
        <w:t>:</w:t>
      </w:r>
      <w:r>
        <w:rPr>
          <w:rFonts w:hint="eastAsia"/>
        </w:rPr>
        <w:t>血压迅速下降（收缩压 &lt; 90 mmHg 或较基础值下降 &gt; 30%）。血压下降同时伴有心跳过速症状</w:t>
      </w:r>
    </w:p>
    <w:p>
      <w:pPr>
        <w:pStyle w:val="26"/>
        <w:numPr>
          <w:ilvl w:val="0"/>
          <w:numId w:val="7"/>
        </w:numPr>
        <w:spacing w:after="120" w:line="360" w:lineRule="exact"/>
        <w:ind w:hanging="14" w:firstLineChars="0"/>
      </w:pPr>
      <w:r>
        <w:rPr>
          <w:rFonts w:hint="eastAsia"/>
        </w:rPr>
        <w:t>皮肤粘膜症状：全身性荨麻疹、潮红或瘙痒，伴或不伴口唇、眼睑及喉部水肿。</w:t>
      </w:r>
    </w:p>
    <w:p>
      <w:pPr>
        <w:pStyle w:val="26"/>
        <w:numPr>
          <w:ilvl w:val="0"/>
          <w:numId w:val="7"/>
        </w:numPr>
        <w:spacing w:after="120" w:line="360" w:lineRule="exact"/>
        <w:ind w:hanging="14" w:firstLineChars="0"/>
      </w:pPr>
      <w:r>
        <w:rPr>
          <w:rFonts w:hint="eastAsia"/>
        </w:rPr>
        <w:t>呼吸系统梗阻：呼吸困难、喘鸣（喉头水肿） 或 喘息、紫绀（支气管痉挛）</w:t>
      </w:r>
    </w:p>
    <w:p>
      <w:pPr>
        <w:pStyle w:val="26"/>
        <w:numPr>
          <w:ilvl w:val="0"/>
          <w:numId w:val="7"/>
        </w:numPr>
        <w:spacing w:after="120" w:line="360" w:lineRule="exact"/>
        <w:ind w:hanging="14" w:firstLineChars="0"/>
      </w:pPr>
      <w:r>
        <w:rPr>
          <w:rFonts w:hint="eastAsia"/>
        </w:rPr>
        <w:t>神经系统症状：突发意识障碍，如烦躁、晕厥、昏迷</w:t>
      </w:r>
    </w:p>
    <w:p>
      <w:pPr>
        <w:pStyle w:val="26"/>
        <w:numPr>
          <w:ilvl w:val="2"/>
          <w:numId w:val="3"/>
        </w:numPr>
        <w:spacing w:after="120" w:line="360" w:lineRule="exact"/>
        <w:ind w:left="0" w:firstLineChars="0"/>
        <w:rPr>
          <w:rFonts w:ascii="黑体" w:hAnsi="黑体" w:eastAsia="黑体" w:cs="黑体"/>
          <w:szCs w:val="22"/>
        </w:rPr>
      </w:pPr>
      <w:r>
        <w:rPr>
          <w:rFonts w:hint="eastAsia" w:ascii="黑体" w:hAnsi="黑体" w:eastAsia="黑体" w:cs="黑体"/>
        </w:rPr>
        <w:t>识别流程要点</w:t>
      </w:r>
    </w:p>
    <w:p>
      <w:pPr>
        <w:pStyle w:val="26"/>
        <w:numPr>
          <w:ilvl w:val="1"/>
          <w:numId w:val="8"/>
        </w:numPr>
        <w:spacing w:after="120" w:line="360" w:lineRule="exact"/>
        <w:ind w:left="426" w:firstLine="0" w:firstLineChars="0"/>
      </w:pPr>
      <w:r>
        <w:rPr>
          <w:rFonts w:hint="eastAsia"/>
        </w:rPr>
        <w:t>时机：多在注射碘对比剂后数分钟至30min内发生，极少数可迟发。</w:t>
      </w:r>
    </w:p>
    <w:p>
      <w:pPr>
        <w:pStyle w:val="26"/>
        <w:numPr>
          <w:ilvl w:val="0"/>
          <w:numId w:val="8"/>
        </w:numPr>
        <w:spacing w:after="120" w:line="360" w:lineRule="exact"/>
        <w:ind w:hanging="14" w:firstLineChars="0"/>
      </w:pPr>
      <w:r>
        <w:rPr>
          <w:rFonts w:hint="eastAsia"/>
        </w:rPr>
        <w:t>综合判断：出现血压显著下降伴皮肤或呼吸或意识中的任一系统症状，即可初步诊断为过敏性休克。</w:t>
      </w:r>
    </w:p>
    <w:p>
      <w:pPr>
        <w:pStyle w:val="26"/>
        <w:numPr>
          <w:ilvl w:val="0"/>
          <w:numId w:val="8"/>
        </w:numPr>
        <w:spacing w:after="120" w:line="360" w:lineRule="exact"/>
        <w:ind w:hanging="14" w:firstLineChars="0"/>
      </w:pPr>
      <w:r>
        <w:rPr>
          <w:rFonts w:hint="eastAsia"/>
        </w:rPr>
        <w:t>鉴别诊断：需与迷走神经反应、单纯荨麻疹等情况相鉴别；血压下降伴心动过速是鉴别过敏性休克与迷走神经反应的关键。</w:t>
      </w:r>
    </w:p>
    <w:p>
      <w:pPr>
        <w:pStyle w:val="26"/>
        <w:numPr>
          <w:ilvl w:val="1"/>
          <w:numId w:val="3"/>
        </w:numPr>
        <w:spacing w:after="120" w:line="360" w:lineRule="exact"/>
        <w:ind w:firstLineChars="0"/>
        <w:rPr>
          <w:rFonts w:ascii="黑体" w:hAnsi="黑体" w:eastAsia="黑体" w:cs="黑体"/>
        </w:rPr>
      </w:pPr>
      <w:r>
        <w:rPr>
          <w:rFonts w:hint="eastAsia" w:ascii="黑体" w:hAnsi="黑体" w:eastAsia="黑体" w:cs="黑体"/>
        </w:rPr>
        <w:t>心血管介入患者的特殊表现</w:t>
      </w:r>
    </w:p>
    <w:p>
      <w:pPr>
        <w:pStyle w:val="26"/>
        <w:spacing w:after="120" w:line="360" w:lineRule="exact"/>
        <w:ind w:firstLine="420" w:firstLineChars="0"/>
        <w:rPr>
          <w:rFonts w:ascii="黑体" w:hAnsi="黑体" w:eastAsia="黑体" w:cs="黑体"/>
        </w:rPr>
      </w:pPr>
      <w:r>
        <w:rPr>
          <w:rFonts w:hint="eastAsia"/>
        </w:rPr>
        <w:t>行心血管介入手术的患者因其基础疾病及手术操作的特殊性，发生碘对比剂不良反应时，除常见皮肤、呼吸系统症状外，更易出现以心血管系统为核心的特殊表现，需高度警惕：</w:t>
      </w:r>
    </w:p>
    <w:p>
      <w:pPr>
        <w:pStyle w:val="26"/>
        <w:numPr>
          <w:ilvl w:val="2"/>
          <w:numId w:val="3"/>
        </w:numPr>
        <w:spacing w:after="120" w:line="360" w:lineRule="exact"/>
        <w:ind w:left="0" w:firstLineChars="0"/>
        <w:rPr>
          <w:rFonts w:ascii="黑体" w:hAnsi="黑体" w:eastAsia="黑体" w:cs="黑体"/>
        </w:rPr>
      </w:pPr>
      <w:r>
        <w:rPr>
          <w:rFonts w:hint="eastAsia" w:ascii="黑体" w:hAnsi="黑体" w:eastAsia="黑体" w:cs="黑体"/>
        </w:rPr>
        <w:t>急性血流动力学紊乱</w:t>
      </w:r>
    </w:p>
    <w:p>
      <w:pPr>
        <w:pStyle w:val="26"/>
        <w:spacing w:after="120" w:line="360" w:lineRule="exact"/>
        <w:ind w:firstLine="426" w:firstLineChars="0"/>
        <w:rPr>
          <w:rFonts w:ascii="黑体" w:hAnsi="黑体" w:eastAsia="黑体" w:cs="黑体"/>
        </w:rPr>
      </w:pPr>
      <w:r>
        <w:rPr>
          <w:rFonts w:hint="eastAsia"/>
        </w:rPr>
        <w:t>一过性但显著的低血压或高血压，可能诱发或加重心功能不全。</w:t>
      </w:r>
    </w:p>
    <w:p>
      <w:pPr>
        <w:pStyle w:val="26"/>
        <w:numPr>
          <w:ilvl w:val="2"/>
          <w:numId w:val="3"/>
        </w:numPr>
        <w:spacing w:after="120" w:line="360" w:lineRule="exact"/>
        <w:ind w:left="0" w:firstLineChars="0"/>
        <w:rPr>
          <w:rFonts w:ascii="黑体" w:hAnsi="黑体" w:eastAsia="黑体" w:cs="黑体"/>
        </w:rPr>
      </w:pPr>
      <w:r>
        <w:rPr>
          <w:rFonts w:hint="eastAsia" w:ascii="黑体" w:hAnsi="黑体" w:eastAsia="黑体" w:cs="黑体"/>
        </w:rPr>
        <w:t>恶性心律失常</w:t>
      </w:r>
    </w:p>
    <w:p>
      <w:pPr>
        <w:pStyle w:val="26"/>
        <w:spacing w:after="120" w:line="360" w:lineRule="exact"/>
        <w:ind w:firstLine="426" w:firstLineChars="0"/>
        <w:rPr>
          <w:rFonts w:ascii="黑体" w:hAnsi="黑体" w:eastAsia="黑体" w:cs="黑体"/>
        </w:rPr>
      </w:pPr>
      <w:r>
        <w:rPr>
          <w:rFonts w:hint="eastAsia"/>
        </w:rPr>
        <w:t>包括快速性心律失常（如室性心动过速、心室颤动）及缓慢性心律失常（如严重窦性心动过缓、房室传导阻滞），可导致血流动力学急剧恶化。</w:t>
      </w:r>
    </w:p>
    <w:p>
      <w:pPr>
        <w:pStyle w:val="26"/>
        <w:numPr>
          <w:ilvl w:val="2"/>
          <w:numId w:val="3"/>
        </w:numPr>
        <w:spacing w:after="120" w:line="360" w:lineRule="exact"/>
        <w:ind w:left="0" w:firstLineChars="0"/>
        <w:rPr>
          <w:rFonts w:ascii="黑体" w:hAnsi="黑体" w:eastAsia="黑体" w:cs="黑体"/>
        </w:rPr>
      </w:pPr>
      <w:r>
        <w:rPr>
          <w:rFonts w:hint="eastAsia" w:ascii="黑体" w:hAnsi="黑体" w:eastAsia="黑体" w:cs="黑体"/>
        </w:rPr>
        <w:t>急性心肌缺血</w:t>
      </w:r>
    </w:p>
    <w:p>
      <w:pPr>
        <w:pStyle w:val="26"/>
        <w:spacing w:after="120" w:line="360" w:lineRule="exact"/>
        <w:ind w:firstLine="426" w:firstLineChars="0"/>
        <w:rPr>
          <w:rFonts w:ascii="黑体" w:hAnsi="黑体" w:eastAsia="黑体" w:cs="黑体"/>
        </w:rPr>
      </w:pPr>
      <w:r>
        <w:rPr>
          <w:rFonts w:hint="eastAsia"/>
        </w:rPr>
        <w:t>表现为胸痛、胸闷症状再发或加重，心电图出现新的ST-T段改变，需与冠脉急性闭塞等手术并发症相鉴别。</w:t>
      </w:r>
    </w:p>
    <w:p>
      <w:pPr>
        <w:pStyle w:val="26"/>
        <w:numPr>
          <w:ilvl w:val="2"/>
          <w:numId w:val="3"/>
        </w:numPr>
        <w:spacing w:after="120" w:line="360" w:lineRule="exact"/>
        <w:ind w:left="0" w:firstLineChars="0"/>
        <w:rPr>
          <w:rFonts w:ascii="黑体" w:hAnsi="黑体" w:eastAsia="黑体" w:cs="黑体"/>
        </w:rPr>
      </w:pPr>
      <w:r>
        <w:rPr>
          <w:rFonts w:hint="eastAsia" w:ascii="黑体" w:hAnsi="黑体" w:eastAsia="黑体" w:cs="黑体"/>
        </w:rPr>
        <w:t>心原性休克</w:t>
      </w:r>
    </w:p>
    <w:p>
      <w:pPr>
        <w:pStyle w:val="26"/>
        <w:spacing w:after="120" w:line="360" w:lineRule="exact"/>
        <w:ind w:firstLine="426" w:firstLineChars="0"/>
        <w:rPr>
          <w:rFonts w:ascii="黑体" w:hAnsi="黑体" w:eastAsia="黑体" w:cs="黑体"/>
        </w:rPr>
      </w:pPr>
      <w:r>
        <w:rPr>
          <w:rFonts w:hint="eastAsia"/>
        </w:rPr>
        <w:t>极为凶险，表现为持续低血压、组织低灌注（如意识改变、皮肤湿冷、尿量减少等），常由多种机制共同导致。</w:t>
      </w:r>
    </w:p>
    <w:p>
      <w:pPr>
        <w:pStyle w:val="26"/>
        <w:numPr>
          <w:ilvl w:val="2"/>
          <w:numId w:val="3"/>
        </w:numPr>
        <w:spacing w:after="120" w:line="360" w:lineRule="exact"/>
        <w:ind w:left="0" w:firstLineChars="0"/>
        <w:rPr>
          <w:rFonts w:ascii="黑体" w:hAnsi="黑体" w:eastAsia="黑体" w:cs="黑体"/>
        </w:rPr>
      </w:pPr>
      <w:r>
        <w:rPr>
          <w:rFonts w:hint="eastAsia" w:ascii="黑体" w:hAnsi="黑体" w:eastAsia="黑体" w:cs="黑体"/>
        </w:rPr>
        <w:t>对比剂相关急性肾损伤（CI-AKI）</w:t>
      </w:r>
    </w:p>
    <w:p>
      <w:pPr>
        <w:pStyle w:val="26"/>
        <w:spacing w:after="120" w:line="360" w:lineRule="exact"/>
        <w:ind w:firstLine="426" w:firstLineChars="0"/>
      </w:pPr>
      <w:r>
        <w:rPr>
          <w:rFonts w:hint="eastAsia"/>
        </w:rPr>
        <w:t>为心血管介入患者最核心的迟发性不良反应;表现为术后24-72小时内出现血清肌酐水平进行性升高（通常较基线值升高≥0.5mg/dL或25%）</w:t>
      </w:r>
    </w:p>
    <w:p>
      <w:pPr>
        <w:pStyle w:val="25"/>
        <w:numPr>
          <w:ilvl w:val="0"/>
          <w:numId w:val="3"/>
        </w:numPr>
        <w:spacing w:before="240" w:beforeLines="100" w:after="240" w:afterLines="100"/>
        <w:rPr>
          <w:rFonts w:ascii="Times New Roman"/>
        </w:rPr>
      </w:pPr>
      <w:bookmarkStart w:id="31" w:name="_Toc230724088"/>
      <w:r>
        <w:rPr>
          <w:rFonts w:hint="eastAsia" w:ascii="Times New Roman"/>
        </w:rPr>
        <w:t>急救处置流程与护理配合要点</w:t>
      </w:r>
      <w:bookmarkEnd w:id="31"/>
    </w:p>
    <w:p>
      <w:pPr>
        <w:pStyle w:val="26"/>
        <w:numPr>
          <w:ilvl w:val="1"/>
          <w:numId w:val="3"/>
        </w:numPr>
        <w:spacing w:after="120" w:line="360" w:lineRule="exact"/>
        <w:ind w:firstLineChars="0"/>
        <w:rPr>
          <w:rFonts w:ascii="黑体" w:hAnsi="黑体" w:eastAsia="黑体" w:cs="黑体"/>
        </w:rPr>
      </w:pPr>
      <w:r>
        <w:rPr>
          <w:rFonts w:hint="eastAsia" w:ascii="黑体" w:hAnsi="黑体" w:eastAsia="黑体" w:cs="黑体"/>
        </w:rPr>
        <w:t>急救流程图</w:t>
      </w:r>
    </w:p>
    <w:p>
      <w:pPr>
        <w:pStyle w:val="26"/>
        <w:spacing w:after="120" w:line="360" w:lineRule="exact"/>
        <w:ind w:left="420" w:firstLine="0" w:firstLineChars="0"/>
      </w:pPr>
      <w:r>
        <w:drawing>
          <wp:anchor distT="0" distB="0" distL="114300" distR="114300" simplePos="0" relativeHeight="251659264" behindDoc="0" locked="0" layoutInCell="1" allowOverlap="1">
            <wp:simplePos x="0" y="0"/>
            <wp:positionH relativeFrom="column">
              <wp:posOffset>11430</wp:posOffset>
            </wp:positionH>
            <wp:positionV relativeFrom="paragraph">
              <wp:posOffset>457200</wp:posOffset>
            </wp:positionV>
            <wp:extent cx="5278120" cy="2861310"/>
            <wp:effectExtent l="0" t="0" r="0" b="0"/>
            <wp:wrapSquare wrapText="bothSides"/>
            <wp:docPr id="351165367"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165367" name="图片 1"/>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8120" cy="2861310"/>
                    </a:xfrm>
                    <a:prstGeom prst="rect">
                      <a:avLst/>
                    </a:prstGeom>
                  </pic:spPr>
                </pic:pic>
              </a:graphicData>
            </a:graphic>
          </wp:anchor>
        </w:drawing>
      </w:r>
      <w:r>
        <w:rPr>
          <w:rFonts w:hint="eastAsia"/>
        </w:rPr>
        <w:t>术中发生碘对比剂过敏性休克时，应立即启动急救流程(详见附录1中</w:t>
      </w:r>
      <w:r>
        <w:fldChar w:fldCharType="begin"/>
      </w:r>
      <w:r>
        <w:instrText xml:space="preserve"> </w:instrText>
      </w:r>
      <w:r>
        <w:rPr>
          <w:rFonts w:hint="eastAsia"/>
        </w:rPr>
        <w:instrText xml:space="preserve">REF _Ref215081015 \h</w:instrText>
      </w:r>
      <w:r>
        <w:instrText xml:space="preserve">  \* MERGEFORMAT </w:instrText>
      </w:r>
      <w:r>
        <w:fldChar w:fldCharType="separate"/>
      </w:r>
      <w:r>
        <w:rPr>
          <w:rFonts w:hint="eastAsia"/>
        </w:rPr>
        <w:t xml:space="preserve">图 </w:t>
      </w:r>
      <w:r>
        <w:t>1</w:t>
      </w:r>
      <w:r>
        <w:rPr>
          <w:rFonts w:hint="eastAsia"/>
        </w:rPr>
        <w:t xml:space="preserve"> 急救流程图</w:t>
      </w:r>
      <w:r>
        <w:fldChar w:fldCharType="end"/>
      </w:r>
      <w:r>
        <w:rPr>
          <w:rFonts w:hint="eastAsia"/>
        </w:rPr>
        <w:t>)：</w:t>
      </w:r>
    </w:p>
    <w:p>
      <w:pPr>
        <w:pStyle w:val="26"/>
        <w:spacing w:after="120" w:line="360" w:lineRule="exact"/>
        <w:ind w:firstLine="0" w:firstLineChars="0"/>
        <w:jc w:val="center"/>
      </w:pPr>
      <w:r>
        <w:rPr>
          <w:rFonts w:hint="eastAsia"/>
        </w:rPr>
        <w:t>图 1 急救流程图</w:t>
      </w:r>
    </w:p>
    <w:p>
      <w:pPr>
        <w:pStyle w:val="26"/>
        <w:numPr>
          <w:ilvl w:val="1"/>
          <w:numId w:val="3"/>
        </w:numPr>
        <w:spacing w:after="120" w:line="360" w:lineRule="exact"/>
        <w:ind w:firstLineChars="0"/>
        <w:rPr>
          <w:rFonts w:ascii="黑体" w:hAnsi="黑体" w:eastAsia="黑体" w:cs="黑体"/>
        </w:rPr>
      </w:pPr>
      <w:r>
        <w:rPr>
          <w:rFonts w:hint="eastAsia" w:ascii="黑体" w:hAnsi="黑体" w:eastAsia="黑体" w:cs="黑体"/>
        </w:rPr>
        <w:t>急救护理流程中监护要点</w:t>
      </w:r>
    </w:p>
    <w:p>
      <w:pPr>
        <w:pStyle w:val="26"/>
        <w:numPr>
          <w:ilvl w:val="0"/>
          <w:numId w:val="0"/>
        </w:numPr>
        <w:spacing w:after="120" w:line="360" w:lineRule="exact"/>
        <w:ind w:firstLine="426" w:firstLineChars="0"/>
        <w:rPr>
          <w:rFonts w:ascii="宋体" w:hAnsi="Times New Roman" w:eastAsia="宋体" w:cs="Times New Roman"/>
        </w:rPr>
      </w:pPr>
      <w:r>
        <w:rPr>
          <w:rFonts w:ascii="宋体" w:hAnsi="Times New Roman" w:eastAsia="宋体" w:cs="Times New Roman"/>
        </w:rPr>
        <w:t>术中发生碘对比剂过敏性休克时，护理人员应在急救处置全过程中实施连续、动态、重点化监护，及时识别病情变化并反馈医师，为气道管理、循环支持、药物使用及后续处置提供依据。监护内容应包括但不限于以下方面</w:t>
      </w:r>
      <w:r>
        <w:rPr>
          <w:rFonts w:hint="eastAsia"/>
        </w:rPr>
        <w:t>：</w:t>
      </w:r>
    </w:p>
    <w:p>
      <w:pPr>
        <w:pStyle w:val="26"/>
        <w:numPr>
          <w:ilvl w:val="0"/>
          <w:numId w:val="9"/>
        </w:numPr>
        <w:spacing w:after="120" w:line="360" w:lineRule="exact"/>
        <w:ind w:firstLineChars="0"/>
      </w:pPr>
      <w:r>
        <w:rPr>
          <w:rFonts w:asciiTheme="minorEastAsia" w:hAnsiTheme="minorEastAsia"/>
        </w:rPr>
        <w:t>生命体征动态监测</w:t>
      </w:r>
      <w:r>
        <w:rPr>
          <w:rFonts w:hint="eastAsia" w:asciiTheme="minorEastAsia" w:hAnsiTheme="minorEastAsia"/>
        </w:rPr>
        <w:t>：</w:t>
      </w:r>
      <w:r>
        <w:rPr>
          <w:rFonts w:asciiTheme="minorEastAsia" w:hAnsiTheme="minorEastAsia"/>
        </w:rPr>
        <w:t>重点观察心率、血压、呼吸频率及血氧饱和度，每1–5</w:t>
      </w:r>
      <w:r>
        <w:rPr>
          <w:rFonts w:hint="eastAsia" w:asciiTheme="minorEastAsia" w:hAnsiTheme="minorEastAsia"/>
        </w:rPr>
        <w:t>min</w:t>
      </w:r>
      <w:r>
        <w:rPr>
          <w:rFonts w:asciiTheme="minorEastAsia" w:hAnsiTheme="minorEastAsia"/>
        </w:rPr>
        <w:t>记录一次直至病情稳定。同时，还需密切关注患者的意识状态，防止出现意识模糊或昏迷等中枢神经系统症状，并注意皮肤表现，如荨麻疹、潮红、紫绀及冷汗等过敏性体征</w:t>
      </w:r>
      <w:r>
        <w:rPr>
          <w:rFonts w:hint="eastAsia"/>
        </w:rPr>
        <w:t>。</w:t>
      </w:r>
    </w:p>
    <w:p>
      <w:pPr>
        <w:pStyle w:val="26"/>
        <w:numPr>
          <w:ilvl w:val="0"/>
          <w:numId w:val="9"/>
        </w:numPr>
        <w:spacing w:after="120" w:line="360" w:lineRule="exact"/>
        <w:ind w:firstLineChars="0"/>
      </w:pPr>
      <w:r>
        <w:rPr>
          <w:rFonts w:asciiTheme="minorEastAsia" w:hAnsiTheme="minorEastAsia"/>
        </w:rPr>
        <w:t>呼吸与循环支持监护</w:t>
      </w:r>
      <w:r>
        <w:rPr>
          <w:rFonts w:hint="eastAsia" w:asciiTheme="minorEastAsia" w:hAnsiTheme="minorEastAsia"/>
        </w:rPr>
        <w:t>：必须确保气道通畅，观察有无喉头水肿、喘鸣或呼吸困难，并在必要时准备气管插管。给予高流量氧气吸入，持续监测血氧饱和度，维持在</w:t>
      </w:r>
      <w:r>
        <w:rPr>
          <w:rFonts w:asciiTheme="minorEastAsia" w:hAnsiTheme="minorEastAsia"/>
        </w:rPr>
        <w:t>≥</w:t>
      </w:r>
      <w:r>
        <w:rPr>
          <w:rFonts w:hint="eastAsia" w:asciiTheme="minorEastAsia" w:hAnsiTheme="minorEastAsia"/>
        </w:rPr>
        <w:t>94%。同时评估循环状态，观察脉搏强弱、皮肤温度及尿量变化，并在条件允许的情况下监测中心静脉压，以判断容量状态。</w:t>
      </w:r>
    </w:p>
    <w:p>
      <w:pPr>
        <w:pStyle w:val="26"/>
        <w:numPr>
          <w:ilvl w:val="0"/>
          <w:numId w:val="9"/>
        </w:numPr>
        <w:spacing w:after="120" w:line="360" w:lineRule="exact"/>
        <w:ind w:firstLineChars="0"/>
      </w:pPr>
      <w:r>
        <w:rPr>
          <w:rFonts w:asciiTheme="minorEastAsia" w:hAnsiTheme="minorEastAsia"/>
        </w:rPr>
        <w:t>药物反应与抢救效果评估</w:t>
      </w:r>
      <w:r>
        <w:rPr>
          <w:rFonts w:hint="eastAsia" w:asciiTheme="minorEastAsia" w:hAnsiTheme="minorEastAsia"/>
        </w:rPr>
        <w:t>：</w:t>
      </w:r>
      <w:r>
        <w:rPr>
          <w:rFonts w:asciiTheme="minorEastAsia" w:hAnsiTheme="minorEastAsia"/>
        </w:rPr>
        <w:t>使用肾上腺素等抢救药物后，应观察血压是否回升、呼吸是否改善，并详细记录药物使用的时间、剂量及反应情况。对于糖皮质激素和抗组胺药物的应用，要评估皮肤症状是否缓解以及呼吸道水肿是否减轻。</w:t>
      </w:r>
    </w:p>
    <w:p>
      <w:pPr>
        <w:pStyle w:val="26"/>
        <w:numPr>
          <w:ilvl w:val="0"/>
          <w:numId w:val="9"/>
        </w:numPr>
        <w:spacing w:after="120" w:line="360" w:lineRule="exact"/>
        <w:ind w:firstLineChars="0"/>
      </w:pPr>
      <w:r>
        <w:rPr>
          <w:rFonts w:asciiTheme="minorEastAsia" w:hAnsiTheme="minorEastAsia"/>
        </w:rPr>
        <w:t>心理与</w:t>
      </w:r>
      <w:r>
        <w:rPr>
          <w:rFonts w:hint="eastAsia" w:asciiTheme="minorEastAsia" w:hAnsiTheme="minorEastAsia"/>
        </w:rPr>
        <w:t>沟通：</w:t>
      </w:r>
      <w:r>
        <w:rPr>
          <w:rFonts w:asciiTheme="minorEastAsia" w:hAnsiTheme="minorEastAsia"/>
        </w:rPr>
        <w:t>护理人员应安抚患者情绪，避免恐慌加重病情，并保持有效沟通。同时要及时与家属交流，告知病情变化及抢救措施。</w:t>
      </w:r>
    </w:p>
    <w:p>
      <w:pPr>
        <w:pStyle w:val="26"/>
        <w:numPr>
          <w:ilvl w:val="0"/>
          <w:numId w:val="9"/>
        </w:numPr>
        <w:spacing w:after="120" w:line="360" w:lineRule="exact"/>
        <w:ind w:firstLineChars="0"/>
      </w:pPr>
      <w:r>
        <w:rPr>
          <w:rFonts w:asciiTheme="minorEastAsia" w:hAnsiTheme="minorEastAsia"/>
        </w:rPr>
        <w:t>记录与交接</w:t>
      </w:r>
      <w:r>
        <w:rPr>
          <w:rFonts w:hint="eastAsia" w:asciiTheme="minorEastAsia" w:hAnsiTheme="minorEastAsia"/>
        </w:rPr>
        <w:t>：</w:t>
      </w:r>
      <w:r>
        <w:rPr>
          <w:rFonts w:asciiTheme="minorEastAsia" w:hAnsiTheme="minorEastAsia"/>
        </w:rPr>
        <w:t>必须做好完整的记录与交接工作，包括过敏反应的发生时间、具体表现、抢救措施、药物使用情况及生命体征变化。在交接班时，应明确患者当前状态、抢救进展及后续观察重点，以确保护理工作的连续性和安全性。</w:t>
      </w:r>
    </w:p>
    <w:p>
      <w:pPr>
        <w:pStyle w:val="26"/>
        <w:numPr>
          <w:ilvl w:val="1"/>
          <w:numId w:val="3"/>
        </w:numPr>
        <w:spacing w:after="120" w:line="360" w:lineRule="exact"/>
        <w:ind w:firstLineChars="0"/>
        <w:rPr>
          <w:rFonts w:ascii="黑体" w:hAnsi="黑体" w:eastAsia="黑体" w:cs="黑体"/>
        </w:rPr>
      </w:pPr>
      <w:r>
        <w:rPr>
          <w:rFonts w:hint="eastAsia" w:ascii="黑体" w:hAnsi="黑体" w:eastAsia="黑体" w:cs="黑体"/>
        </w:rPr>
        <w:t>急救处置时护士职责分工</w:t>
      </w:r>
    </w:p>
    <w:p>
      <w:pPr>
        <w:pStyle w:val="26"/>
        <w:numPr>
          <w:ilvl w:val="2"/>
          <w:numId w:val="3"/>
        </w:numPr>
        <w:spacing w:after="120" w:line="360" w:lineRule="exact"/>
        <w:ind w:left="0" w:firstLineChars="0"/>
      </w:pPr>
      <w:r>
        <w:rPr>
          <w:rFonts w:hint="eastAsia" w:ascii="黑体" w:hAnsi="黑体" w:eastAsia="黑体" w:cs="黑体"/>
        </w:rPr>
        <w:t>原则</w:t>
      </w:r>
    </w:p>
    <w:p>
      <w:pPr>
        <w:pStyle w:val="26"/>
        <w:numPr>
          <w:ilvl w:val="255"/>
          <w:numId w:val="0"/>
        </w:numPr>
        <w:spacing w:after="120" w:line="360" w:lineRule="exact"/>
        <w:ind w:firstLine="420" w:firstLineChars="200"/>
      </w:pPr>
      <w:r>
        <w:rPr>
          <w:rFonts w:hint="eastAsia"/>
        </w:rPr>
        <w:t>在心脏介入术中，当发生碘对比剂过敏性休克时，护理人员应在医师指挥下迅速、准确地开展急救配合工作。团队应遵循“分工明确、反应迅速、配合紧密”的原则，确保抢救流程衔接顺畅、操作有序。</w:t>
      </w:r>
    </w:p>
    <w:p>
      <w:pPr>
        <w:pStyle w:val="26"/>
        <w:numPr>
          <w:ilvl w:val="2"/>
          <w:numId w:val="3"/>
        </w:numPr>
        <w:spacing w:after="120" w:line="360" w:lineRule="exact"/>
        <w:ind w:left="0" w:firstLineChars="0"/>
      </w:pPr>
      <w:r>
        <w:rPr>
          <w:rFonts w:hint="eastAsia" w:ascii="黑体" w:hAnsi="黑体" w:eastAsia="黑体" w:cs="黑体"/>
        </w:rPr>
        <w:t>责任护士（护士一）</w:t>
      </w:r>
    </w:p>
    <w:p>
      <w:pPr>
        <w:pStyle w:val="26"/>
        <w:spacing w:after="120" w:line="360" w:lineRule="exact"/>
        <w:ind w:firstLine="426" w:firstLineChars="0"/>
      </w:pPr>
      <w:r>
        <w:rPr>
          <w:rFonts w:hint="eastAsia"/>
        </w:rPr>
        <w:t>责任护士在发现患者出现过敏性休克反应时，医生应立即停止注射对比剂，暂停介入操作，保留现有血管通路（如动脉鞘、静脉鞘），为后续用药提供通道。</w:t>
      </w:r>
    </w:p>
    <w:p>
      <w:pPr>
        <w:pStyle w:val="26"/>
        <w:numPr>
          <w:ilvl w:val="0"/>
          <w:numId w:val="10"/>
        </w:numPr>
        <w:spacing w:after="120" w:line="360" w:lineRule="exact"/>
        <w:ind w:left="709" w:hanging="425" w:firstLineChars="0"/>
      </w:pPr>
      <w:r>
        <w:rPr>
          <w:rFonts w:hint="eastAsia"/>
        </w:rPr>
        <w:t>迅速判断患者意识、呼吸、循环状态，向医生报告生命体征及临床症状，立即遵医嘱实施初步救护措施。</w:t>
      </w:r>
    </w:p>
    <w:p>
      <w:pPr>
        <w:pStyle w:val="26"/>
        <w:numPr>
          <w:ilvl w:val="0"/>
          <w:numId w:val="10"/>
        </w:numPr>
        <w:spacing w:after="120" w:line="360" w:lineRule="exact"/>
        <w:ind w:left="709" w:hanging="425" w:firstLineChars="0"/>
      </w:pPr>
      <w:r>
        <w:rPr>
          <w:rFonts w:hint="eastAsia"/>
        </w:rPr>
        <w:t>确保气道通畅，及时给予高流量氧气吸入，对呼吸困难者，遵医嘱选用呼吸中枢兴奋剂（如可拉明）；对气道梗阻者，使用肾上腺素缓解</w:t>
      </w:r>
    </w:p>
    <w:p>
      <w:pPr>
        <w:pStyle w:val="26"/>
        <w:numPr>
          <w:ilvl w:val="0"/>
          <w:numId w:val="10"/>
        </w:numPr>
        <w:spacing w:after="120" w:line="360" w:lineRule="exact"/>
        <w:ind w:left="709" w:hanging="425" w:firstLineChars="0"/>
      </w:pPr>
      <w:r>
        <w:t>患者呕吐时，护士需协助其去枕平卧，头偏向一侧，防止呕吐物误吸入呼吸道</w:t>
      </w:r>
      <w:r>
        <w:rPr>
          <w:rFonts w:hint="eastAsia"/>
        </w:rPr>
        <w:t>，</w:t>
      </w:r>
      <w:r>
        <w:t>若发生窒息，需立即给予吸痰，保持呼吸道通畅，必要时使用简易呼吸器辅助通气</w:t>
      </w:r>
      <w:r>
        <w:rPr>
          <w:rFonts w:hint="eastAsia"/>
        </w:rPr>
        <w:t>，由麻醉科实施气管插管或气管切开等措施，维持患者呼吸循环功能。</w:t>
      </w:r>
    </w:p>
    <w:p>
      <w:pPr>
        <w:pStyle w:val="26"/>
        <w:numPr>
          <w:ilvl w:val="0"/>
          <w:numId w:val="10"/>
        </w:numPr>
        <w:spacing w:after="120" w:line="360" w:lineRule="exact"/>
        <w:ind w:left="709" w:hanging="425" w:firstLineChars="0"/>
      </w:pPr>
      <w:r>
        <w:t>针对血压下降、休克等症状，遵医嘱给予盐酸肾上腺素、去甲肾上腺素、阿托品、多巴胺等药物</w:t>
      </w:r>
      <w:r>
        <w:rPr>
          <w:rFonts w:hint="eastAsia"/>
        </w:rPr>
        <w:t>维持循环</w:t>
      </w:r>
      <w:r>
        <w:t>；</w:t>
      </w:r>
      <w:r>
        <w:rPr>
          <w:rFonts w:hint="eastAsia"/>
        </w:rPr>
        <w:t>遵医嘱使用其他急救药物。</w:t>
      </w:r>
    </w:p>
    <w:p>
      <w:pPr>
        <w:pStyle w:val="26"/>
        <w:numPr>
          <w:ilvl w:val="0"/>
          <w:numId w:val="10"/>
        </w:numPr>
        <w:spacing w:after="120" w:line="360" w:lineRule="exact"/>
        <w:ind w:left="709" w:hanging="425" w:firstLineChars="0"/>
      </w:pPr>
      <w:r>
        <w:rPr>
          <w:rFonts w:hint="eastAsia"/>
        </w:rPr>
        <w:t>抢救</w:t>
      </w:r>
      <w:r>
        <w:t>原则：遵医嘱配合医生给予肾上腺素缓解</w:t>
      </w:r>
      <w:r>
        <w:rPr>
          <w:rFonts w:hint="eastAsia"/>
        </w:rPr>
        <w:t>支气管痉挛或喉头水肿</w:t>
      </w:r>
      <w:r>
        <w:t>，急救时首选肌内注射（如大腿外侧三角肌）</w:t>
      </w:r>
      <w:r>
        <w:rPr>
          <w:rFonts w:hint="eastAsia" w:hAnsi="宋体" w:cs="宋体"/>
          <w:color w:val="000000"/>
          <w:szCs w:val="21"/>
          <w:lang w:bidi="ar"/>
        </w:rPr>
        <w:t>。</w:t>
      </w:r>
      <w:r>
        <w:t>若休克严重且已建立静脉通路，可缓慢静脉注射（需严格控制剂量，避免引发心律失常）。同时需维持呼吸、循环稳定，随时评估患者症状及意识状态。</w:t>
      </w:r>
      <w:r>
        <w:rPr>
          <w:rFonts w:hint="eastAsia"/>
        </w:rPr>
        <w:t>若患者发生</w:t>
      </w:r>
      <w:r>
        <w:t>心跳骤停</w:t>
      </w:r>
      <w:r>
        <w:rPr>
          <w:rFonts w:hint="eastAsia"/>
        </w:rPr>
        <w:t>，需立即实施有效的心肺复苏。</w:t>
      </w:r>
    </w:p>
    <w:p>
      <w:pPr>
        <w:pStyle w:val="26"/>
        <w:numPr>
          <w:ilvl w:val="2"/>
          <w:numId w:val="3"/>
        </w:numPr>
        <w:spacing w:after="120" w:line="360" w:lineRule="exact"/>
        <w:ind w:left="0" w:firstLineChars="0"/>
      </w:pPr>
      <w:r>
        <w:rPr>
          <w:rFonts w:hint="eastAsia" w:ascii="黑体" w:hAnsi="黑体" w:eastAsia="黑体" w:cs="黑体"/>
        </w:rPr>
        <w:t>护士二</w:t>
      </w:r>
    </w:p>
    <w:p>
      <w:pPr>
        <w:pStyle w:val="26"/>
        <w:spacing w:after="120" w:line="360" w:lineRule="exact"/>
        <w:ind w:firstLine="426" w:firstLineChars="0"/>
      </w:pPr>
      <w:r>
        <w:rPr>
          <w:rFonts w:hint="eastAsia"/>
        </w:rPr>
        <w:t>护士二应同时快速建立第二条静脉通道，确保液体通路通畅，若患者血管严重收缩或塌陷，医生需尽快为其行深静脉置管。</w:t>
      </w:r>
    </w:p>
    <w:p>
      <w:pPr>
        <w:pStyle w:val="26"/>
        <w:numPr>
          <w:ilvl w:val="1"/>
          <w:numId w:val="8"/>
        </w:numPr>
        <w:spacing w:after="120" w:line="360" w:lineRule="exact"/>
        <w:ind w:firstLineChars="0"/>
      </w:pPr>
      <w:r>
        <w:rPr>
          <w:rFonts w:hint="eastAsia"/>
        </w:rPr>
        <w:t>根据医嘱准备和递送急救药品，包括肾上腺素、糖皮质激素、抗组胺药等。</w:t>
      </w:r>
    </w:p>
    <w:p>
      <w:pPr>
        <w:pStyle w:val="26"/>
        <w:numPr>
          <w:ilvl w:val="1"/>
          <w:numId w:val="8"/>
        </w:numPr>
        <w:spacing w:after="120" w:line="360" w:lineRule="exact"/>
        <w:ind w:firstLineChars="0"/>
      </w:pPr>
      <w:r>
        <w:rPr>
          <w:rFonts w:hint="eastAsia"/>
        </w:rPr>
        <w:t>配合护士需熟悉各类药品的剂量、给药途径与顺序，确保用药安全。</w:t>
      </w:r>
    </w:p>
    <w:p>
      <w:pPr>
        <w:pStyle w:val="26"/>
        <w:numPr>
          <w:ilvl w:val="1"/>
          <w:numId w:val="8"/>
        </w:numPr>
        <w:spacing w:after="120" w:line="360" w:lineRule="exact"/>
        <w:ind w:firstLineChars="0"/>
      </w:pPr>
      <w:r>
        <w:rPr>
          <w:rFonts w:hint="eastAsia"/>
        </w:rPr>
        <w:t>同时，应随时调整输液速度与容量，防止因过度补液导致循环负荷加重，尤其是在心功能不全患者中。</w:t>
      </w:r>
    </w:p>
    <w:p>
      <w:pPr>
        <w:pStyle w:val="26"/>
        <w:numPr>
          <w:ilvl w:val="2"/>
          <w:numId w:val="3"/>
        </w:numPr>
        <w:spacing w:after="120" w:line="360" w:lineRule="exact"/>
        <w:ind w:left="0" w:firstLineChars="0"/>
      </w:pPr>
      <w:r>
        <w:rPr>
          <w:rFonts w:hint="eastAsia" w:ascii="黑体" w:hAnsi="黑体" w:eastAsia="黑体" w:cs="黑体"/>
        </w:rPr>
        <w:t>护士三</w:t>
      </w:r>
    </w:p>
    <w:p>
      <w:pPr>
        <w:pStyle w:val="26"/>
        <w:spacing w:after="120" w:line="360" w:lineRule="exact"/>
        <w:ind w:firstLine="420"/>
      </w:pPr>
      <w:r>
        <w:rPr>
          <w:rFonts w:hint="eastAsia"/>
        </w:rPr>
        <w:t>护士三负责全过程记录急救操作的时间节点、用药剂量、监测数据及患者反应，确保信息完整、真实、可追溯。</w:t>
      </w:r>
    </w:p>
    <w:p>
      <w:pPr>
        <w:pStyle w:val="26"/>
        <w:numPr>
          <w:ilvl w:val="1"/>
          <w:numId w:val="7"/>
        </w:numPr>
        <w:spacing w:after="120" w:line="360" w:lineRule="exact"/>
        <w:ind w:firstLineChars="0"/>
      </w:pPr>
      <w:r>
        <w:rPr>
          <w:rFonts w:hint="eastAsia"/>
        </w:rPr>
        <w:t>记录护士还应协助统计抢救药品和物品使用情况。</w:t>
      </w:r>
    </w:p>
    <w:p>
      <w:pPr>
        <w:pStyle w:val="26"/>
        <w:numPr>
          <w:ilvl w:val="1"/>
          <w:numId w:val="7"/>
        </w:numPr>
        <w:spacing w:after="120" w:line="360" w:lineRule="exact"/>
        <w:ind w:firstLineChars="0"/>
      </w:pPr>
      <w:r>
        <w:rPr>
          <w:rFonts w:hint="eastAsia"/>
        </w:rPr>
        <w:t>如有需要其他科室参与配合抢救，记录护士负责联系及协调工作。</w:t>
      </w:r>
    </w:p>
    <w:p>
      <w:pPr>
        <w:pStyle w:val="26"/>
        <w:numPr>
          <w:ilvl w:val="1"/>
          <w:numId w:val="7"/>
        </w:numPr>
        <w:spacing w:after="120" w:line="360" w:lineRule="exact"/>
        <w:ind w:firstLineChars="0"/>
      </w:pPr>
      <w:r>
        <w:rPr>
          <w:rFonts w:hint="eastAsia"/>
        </w:rPr>
        <w:t>保留术中所用药物并记录该对比剂批号，后续医生进行</w:t>
      </w:r>
      <w:r>
        <w:t>填写《药品不良反应/事件报告表》，按流程完成上报</w:t>
      </w:r>
      <w:r>
        <w:rPr>
          <w:rFonts w:hint="eastAsia"/>
        </w:rPr>
        <w:t>，为事件分析和质量改进提供依据</w:t>
      </w:r>
      <w:r>
        <w:t>。</w:t>
      </w:r>
    </w:p>
    <w:p>
      <w:pPr>
        <w:pStyle w:val="26"/>
        <w:numPr>
          <w:ilvl w:val="2"/>
          <w:numId w:val="3"/>
        </w:numPr>
        <w:spacing w:after="120" w:line="360" w:lineRule="exact"/>
        <w:ind w:firstLineChars="0"/>
      </w:pPr>
      <w:r>
        <w:rPr>
          <w:rFonts w:hint="eastAsia" w:ascii="黑体" w:hAnsi="黑体" w:eastAsia="黑体" w:cs="黑体"/>
        </w:rPr>
        <w:t>护理团队</w:t>
      </w:r>
    </w:p>
    <w:p>
      <w:pPr>
        <w:pStyle w:val="26"/>
        <w:numPr>
          <w:ilvl w:val="0"/>
          <w:numId w:val="11"/>
        </w:numPr>
        <w:spacing w:after="120" w:line="360" w:lineRule="exact"/>
        <w:ind w:left="709" w:hanging="425" w:firstLineChars="0"/>
      </w:pPr>
      <w:r>
        <w:rPr>
          <w:rFonts w:hint="eastAsia"/>
        </w:rPr>
        <w:t>护理团队需保持持续的动态监测。随时报告患者的血压、心率、氧饱和度及意识变化，确保医师及时掌握患者状态。</w:t>
      </w:r>
    </w:p>
    <w:p>
      <w:pPr>
        <w:pStyle w:val="26"/>
        <w:numPr>
          <w:ilvl w:val="0"/>
          <w:numId w:val="11"/>
        </w:numPr>
        <w:spacing w:after="120" w:line="360" w:lineRule="exact"/>
        <w:ind w:left="709" w:hanging="425" w:firstLineChars="0"/>
      </w:pPr>
      <w:r>
        <w:rPr>
          <w:rFonts w:hint="eastAsia"/>
        </w:rPr>
        <w:t>抢救期间的所有操作必须保持清晰沟通，任何口头指令需复述确认并与第二人核对后进行用药。</w:t>
      </w:r>
    </w:p>
    <w:p>
      <w:pPr>
        <w:pStyle w:val="26"/>
        <w:numPr>
          <w:ilvl w:val="0"/>
          <w:numId w:val="11"/>
        </w:numPr>
        <w:spacing w:after="120" w:line="360" w:lineRule="exact"/>
        <w:ind w:left="709" w:hanging="425" w:firstLineChars="0"/>
      </w:pPr>
      <w:r>
        <w:rPr>
          <w:rFonts w:hint="eastAsia"/>
        </w:rPr>
        <w:t>抢救结束后，护理人员应对患者进行安抚，减少其心理紧张或恐惧反应，并根据医嘱持续观察生命体征变化。</w:t>
      </w:r>
    </w:p>
    <w:p>
      <w:pPr>
        <w:pStyle w:val="26"/>
        <w:numPr>
          <w:ilvl w:val="0"/>
          <w:numId w:val="11"/>
        </w:numPr>
        <w:spacing w:after="120" w:line="360" w:lineRule="exact"/>
        <w:ind w:left="709" w:hanging="425" w:firstLineChars="0"/>
      </w:pPr>
      <w:r>
        <w:rPr>
          <w:rFonts w:hint="eastAsia"/>
        </w:rPr>
        <w:t>所有护士还应在日常工作中完成抢救物品与药品的常规检查，保证肾上腺素、异丙嗪、</w:t>
      </w:r>
      <w:r>
        <w:t>麻醉插管相关用药</w:t>
      </w:r>
      <w:r>
        <w:rPr>
          <w:rFonts w:hint="eastAsia"/>
        </w:rPr>
        <w:t>等关键药品在有效期内，吸氧设备、气管插管装置及吸痰系统状态完好。每日对抢救车进行核对登记，用后及时补齐，确保“随时可用、责任到人”。</w:t>
      </w:r>
    </w:p>
    <w:p>
      <w:pPr>
        <w:pStyle w:val="26"/>
        <w:numPr>
          <w:ilvl w:val="1"/>
          <w:numId w:val="3"/>
        </w:numPr>
        <w:spacing w:after="120" w:line="360" w:lineRule="exact"/>
        <w:ind w:firstLineChars="0"/>
        <w:rPr>
          <w:rFonts w:ascii="黑体" w:hAnsi="黑体" w:eastAsia="黑体" w:cs="黑体"/>
        </w:rPr>
      </w:pPr>
      <w:r>
        <w:rPr>
          <w:rFonts w:hint="eastAsia" w:ascii="黑体" w:hAnsi="黑体" w:eastAsia="黑体" w:cs="黑体"/>
        </w:rPr>
        <w:t>药物管理及使用</w:t>
      </w:r>
    </w:p>
    <w:p>
      <w:pPr>
        <w:pStyle w:val="26"/>
        <w:spacing w:after="120" w:line="360" w:lineRule="exact"/>
        <w:ind w:firstLine="420" w:firstLineChars="0"/>
      </w:pPr>
      <w:r>
        <w:rPr>
          <w:rFonts w:hint="eastAsia"/>
        </w:rPr>
        <w:t>在心脏介入术中发生碘对比剂过敏性休克时，药物管理的急救流程需迅速、规范，确保抢救药物及时、准确、安全地使用。</w:t>
      </w:r>
    </w:p>
    <w:p>
      <w:pPr>
        <w:pStyle w:val="26"/>
        <w:numPr>
          <w:ilvl w:val="2"/>
          <w:numId w:val="3"/>
        </w:numPr>
        <w:spacing w:after="120" w:line="360" w:lineRule="exact"/>
        <w:ind w:left="0" w:firstLineChars="0"/>
        <w:rPr>
          <w:rFonts w:ascii="黑体" w:hAnsi="黑体" w:eastAsia="黑体" w:cs="黑体"/>
        </w:rPr>
      </w:pPr>
      <w:r>
        <w:rPr>
          <w:rFonts w:hint="eastAsia" w:ascii="黑体" w:hAnsi="黑体" w:eastAsia="黑体" w:cs="黑体"/>
        </w:rPr>
        <w:t>药品准备</w:t>
      </w:r>
    </w:p>
    <w:p>
      <w:pPr>
        <w:pStyle w:val="37"/>
        <w:rPr>
          <w:rFonts w:asciiTheme="minorEastAsia" w:hAnsiTheme="minorEastAsia"/>
        </w:rPr>
      </w:pPr>
      <w:r>
        <w:rPr>
          <w:rFonts w:hint="eastAsia" w:asciiTheme="minorEastAsia" w:hAnsiTheme="minorEastAsia"/>
          <w:szCs w:val="22"/>
        </w:rPr>
        <w:t>心血管介入手术间应配备专用抢救车（含药品抽屉、气道抽屉、输注与监护抽屉、应急器械层）与除颤仪，并落实定置化管理、标识管理与交接班点检制度，确保一线急救药物与关键设备“随取即用”。各班次术前完成功能自检与物资完整性核对，按照</w:t>
      </w:r>
      <w:r>
        <w:t>急救药品的管理按照急救药品管理质量要求执行</w:t>
      </w:r>
      <w:r>
        <w:rPr>
          <w:rFonts w:hint="eastAsia"/>
        </w:rPr>
        <w:t>并登记</w:t>
      </w:r>
      <w:r>
        <w:rPr>
          <w:rFonts w:hint="eastAsia" w:asciiTheme="minorEastAsia" w:hAnsiTheme="minorEastAsia"/>
          <w:szCs w:val="22"/>
        </w:rPr>
        <w:t>。</w:t>
      </w:r>
    </w:p>
    <w:p>
      <w:pPr>
        <w:pStyle w:val="37"/>
        <w:widowControl/>
        <w:numPr>
          <w:ilvl w:val="0"/>
          <w:numId w:val="12"/>
        </w:numPr>
        <w:spacing w:after="120" w:line="360" w:lineRule="exact"/>
        <w:ind w:firstLineChars="0"/>
        <w:contextualSpacing/>
        <w:jc w:val="left"/>
        <w:rPr>
          <w:rFonts w:asciiTheme="minorEastAsia" w:hAnsiTheme="minorEastAsia"/>
        </w:rPr>
      </w:pPr>
      <w:r>
        <w:rPr>
          <w:rFonts w:hint="eastAsia" w:asciiTheme="minorEastAsia" w:hAnsiTheme="minorEastAsia"/>
        </w:rPr>
        <w:t>一线急救药物：优先保证肾上腺素的可及性与正确浓度（建议配备预装/现配 1 mg/mL 供肌注与 0.1 mg/mL 供静脉缓推的稀释卡片与双人核对流程）；同时备去甲肾上腺素、多巴胺等血管活性药，抗组胺药、糖皮质激素等药物。</w:t>
      </w:r>
    </w:p>
    <w:p>
      <w:pPr>
        <w:pStyle w:val="37"/>
        <w:widowControl/>
        <w:numPr>
          <w:ilvl w:val="0"/>
          <w:numId w:val="12"/>
        </w:numPr>
        <w:spacing w:after="120" w:line="360" w:lineRule="exact"/>
        <w:ind w:firstLineChars="0"/>
        <w:contextualSpacing/>
        <w:jc w:val="left"/>
        <w:rPr>
          <w:rFonts w:asciiTheme="minorEastAsia" w:hAnsiTheme="minorEastAsia"/>
        </w:rPr>
      </w:pPr>
      <w:r>
        <w:rPr>
          <w:rFonts w:hint="eastAsia" w:asciiTheme="minorEastAsia" w:hAnsiTheme="minorEastAsia"/>
        </w:rPr>
        <w:t>防错与标识：对易混浓度（如肾上腺素1:1000与1:10000）进行显著颜色与文字双重标识。</w:t>
      </w:r>
    </w:p>
    <w:p>
      <w:pPr>
        <w:pStyle w:val="37"/>
        <w:widowControl/>
        <w:numPr>
          <w:ilvl w:val="0"/>
          <w:numId w:val="12"/>
        </w:numPr>
        <w:spacing w:after="120" w:line="360" w:lineRule="exact"/>
        <w:ind w:firstLineChars="0"/>
        <w:contextualSpacing/>
        <w:jc w:val="left"/>
        <w:rPr>
          <w:rFonts w:asciiTheme="minorEastAsia" w:hAnsiTheme="minorEastAsia"/>
        </w:rPr>
      </w:pPr>
      <w:r>
        <w:rPr>
          <w:rFonts w:hint="eastAsia" w:asciiTheme="minorEastAsia" w:hAnsiTheme="minorEastAsia"/>
        </w:rPr>
        <w:t>备麻醉插管相关用药：罗库溴铵注射液、咪达唑仑注射液（力月西）、丙泊酚注射液（得普利麻）、依托咪酯注射液（福尔利）、盐酸戊乙奎醚注射液（长托宁）等。</w:t>
      </w:r>
    </w:p>
    <w:p>
      <w:pPr>
        <w:pStyle w:val="37"/>
        <w:widowControl/>
        <w:numPr>
          <w:ilvl w:val="0"/>
          <w:numId w:val="12"/>
        </w:numPr>
        <w:spacing w:after="120" w:line="360" w:lineRule="exact"/>
        <w:ind w:firstLineChars="0"/>
        <w:contextualSpacing/>
        <w:jc w:val="left"/>
        <w:rPr>
          <w:rFonts w:asciiTheme="minorEastAsia" w:hAnsiTheme="minorEastAsia"/>
        </w:rPr>
      </w:pPr>
      <w:r>
        <w:rPr>
          <w:rFonts w:hint="eastAsia" w:asciiTheme="minorEastAsia" w:hAnsiTheme="minorEastAsia"/>
        </w:rPr>
        <w:t>库存与效期：</w:t>
      </w:r>
      <w:r>
        <w:rPr>
          <w:rFonts w:asciiTheme="minorEastAsia" w:hAnsiTheme="minorEastAsia"/>
        </w:rPr>
        <w:t>需定期检查更换，确保在有效期内</w:t>
      </w:r>
      <w:r>
        <w:rPr>
          <w:rFonts w:hint="eastAsia" w:asciiTheme="minorEastAsia" w:hAnsiTheme="minorEastAsia"/>
        </w:rPr>
        <w:t>，药品效期预警（6个月内药品贴近效期标识）；使用后补齐并记录。</w:t>
      </w:r>
    </w:p>
    <w:p>
      <w:pPr>
        <w:pStyle w:val="26"/>
        <w:numPr>
          <w:ilvl w:val="2"/>
          <w:numId w:val="3"/>
        </w:numPr>
        <w:spacing w:after="120" w:line="360" w:lineRule="exact"/>
        <w:ind w:firstLineChars="0"/>
        <w:rPr>
          <w:rFonts w:ascii="黑体" w:hAnsi="黑体" w:eastAsia="黑体" w:cs="黑体"/>
        </w:rPr>
      </w:pPr>
      <w:r>
        <w:rPr>
          <w:rFonts w:hint="eastAsia" w:ascii="黑体" w:hAnsi="黑体" w:eastAsia="黑体" w:cs="黑体"/>
        </w:rPr>
        <w:t>常用急救药物使用方法</w:t>
      </w:r>
    </w:p>
    <w:p>
      <w:pPr>
        <w:spacing w:after="120" w:line="360" w:lineRule="exact"/>
        <w:ind w:firstLine="454"/>
        <w:rPr>
          <w:rFonts w:asciiTheme="minorEastAsia" w:hAnsiTheme="minorEastAsia"/>
        </w:rPr>
      </w:pPr>
      <w:r>
        <w:rPr>
          <w:rFonts w:hint="eastAsia" w:asciiTheme="minorEastAsia" w:hAnsiTheme="minorEastAsia"/>
        </w:rPr>
        <w:t>常用急救药物及其用法：</w:t>
      </w:r>
    </w:p>
    <w:p>
      <w:pPr>
        <w:pStyle w:val="37"/>
        <w:widowControl/>
        <w:numPr>
          <w:ilvl w:val="0"/>
          <w:numId w:val="13"/>
        </w:numPr>
        <w:spacing w:after="120" w:line="360" w:lineRule="exact"/>
        <w:ind w:left="851" w:firstLineChars="0"/>
        <w:contextualSpacing/>
        <w:jc w:val="left"/>
        <w:rPr>
          <w:rFonts w:asciiTheme="minorEastAsia" w:hAnsiTheme="minorEastAsia"/>
        </w:rPr>
      </w:pPr>
      <w:r>
        <w:rPr>
          <w:rFonts w:hint="eastAsia" w:asciiTheme="minorEastAsia" w:hAnsiTheme="minorEastAsia"/>
        </w:rPr>
        <w:t>肾上腺素：首选药物，</w:t>
      </w:r>
      <w:r>
        <w:t>急救时首选肌内注射（如大腿外侧三角肌），该途径吸收快、起效迅速（通常5～10</w:t>
      </w:r>
      <w:r>
        <w:rPr>
          <w:rFonts w:hint="eastAsia"/>
        </w:rPr>
        <w:t>min</w:t>
      </w:r>
      <w:r>
        <w:t>起效）；</w:t>
      </w:r>
      <w:r>
        <w:rPr>
          <w:rFonts w:hint="eastAsia" w:ascii="宋体" w:hAnsi="宋体" w:eastAsia="宋体" w:cs="宋体"/>
          <w:color w:val="000000"/>
          <w:kern w:val="0"/>
          <w:sz w:val="19"/>
          <w:szCs w:val="19"/>
          <w:lang w:bidi="ar"/>
        </w:rPr>
        <w:t>血</w:t>
      </w:r>
      <w:r>
        <w:rPr>
          <w:rFonts w:hint="eastAsia" w:ascii="宋体" w:hAnsi="宋体" w:eastAsia="宋体" w:cs="宋体"/>
          <w:color w:val="000000"/>
          <w:kern w:val="0"/>
          <w:szCs w:val="21"/>
          <w:lang w:bidi="ar"/>
        </w:rPr>
        <w:t>压正常时肌内注射1：1000的肾上腺素0</w:t>
      </w:r>
      <w:r>
        <w:rPr>
          <w:rFonts w:ascii="宋体" w:hAnsi="宋体" w:eastAsia="宋体" w:cs="宋体"/>
          <w:color w:val="000000"/>
          <w:kern w:val="0"/>
          <w:szCs w:val="21"/>
          <w:lang w:bidi="ar"/>
        </w:rPr>
        <w:t>.</w:t>
      </w:r>
      <w:r>
        <w:rPr>
          <w:rFonts w:hint="eastAsia" w:ascii="宋体" w:hAnsi="宋体" w:eastAsia="宋体" w:cs="宋体"/>
          <w:color w:val="000000"/>
          <w:kern w:val="0"/>
          <w:szCs w:val="21"/>
          <w:lang w:bidi="ar"/>
        </w:rPr>
        <w:t>1～0</w:t>
      </w:r>
      <w:r>
        <w:rPr>
          <w:rFonts w:ascii="宋体" w:hAnsi="宋体" w:eastAsia="宋体" w:cs="宋体"/>
          <w:color w:val="000000"/>
          <w:kern w:val="0"/>
          <w:szCs w:val="21"/>
          <w:lang w:bidi="ar"/>
        </w:rPr>
        <w:t>.</w:t>
      </w:r>
      <w:r>
        <w:rPr>
          <w:rFonts w:hint="eastAsia" w:ascii="宋体" w:hAnsi="宋体" w:eastAsia="宋体" w:cs="宋体"/>
          <w:color w:val="000000"/>
          <w:kern w:val="0"/>
          <w:szCs w:val="21"/>
          <w:lang w:bidi="ar"/>
        </w:rPr>
        <w:t>3mL(0</w:t>
      </w:r>
      <w:r>
        <w:rPr>
          <w:rFonts w:ascii="宋体" w:hAnsi="宋体" w:eastAsia="宋体" w:cs="宋体"/>
          <w:color w:val="000000"/>
          <w:kern w:val="0"/>
          <w:szCs w:val="21"/>
          <w:lang w:bidi="ar"/>
        </w:rPr>
        <w:t>.</w:t>
      </w:r>
      <w:r>
        <w:rPr>
          <w:rFonts w:hint="eastAsia" w:ascii="宋体" w:hAnsi="宋体" w:eastAsia="宋体" w:cs="宋体"/>
          <w:color w:val="000000"/>
          <w:kern w:val="0"/>
          <w:szCs w:val="21"/>
          <w:lang w:bidi="ar"/>
        </w:rPr>
        <w:t>1～O</w:t>
      </w:r>
      <w:r>
        <w:rPr>
          <w:rFonts w:ascii="宋体" w:hAnsi="宋体" w:eastAsia="宋体" w:cs="宋体"/>
          <w:color w:val="000000"/>
          <w:kern w:val="0"/>
          <w:szCs w:val="21"/>
          <w:lang w:bidi="ar"/>
        </w:rPr>
        <w:t>.</w:t>
      </w:r>
      <w:r>
        <w:rPr>
          <w:rFonts w:hint="eastAsia" w:ascii="宋体" w:hAnsi="宋体" w:eastAsia="宋体" w:cs="宋体"/>
          <w:color w:val="000000"/>
          <w:kern w:val="0"/>
          <w:szCs w:val="21"/>
          <w:lang w:bidi="ar"/>
        </w:rPr>
        <w:t>3mg)，有冠状动脉疾病或老年患者使用较小的剂量，患儿用量0</w:t>
      </w:r>
      <w:r>
        <w:rPr>
          <w:rFonts w:ascii="宋体" w:hAnsi="宋体" w:eastAsia="宋体" w:cs="宋体"/>
          <w:color w:val="000000"/>
          <w:kern w:val="0"/>
          <w:szCs w:val="21"/>
          <w:lang w:bidi="ar"/>
        </w:rPr>
        <w:t>.</w:t>
      </w:r>
      <w:r>
        <w:rPr>
          <w:rFonts w:hint="eastAsia" w:ascii="宋体" w:hAnsi="宋体" w:eastAsia="宋体" w:cs="宋体"/>
          <w:color w:val="000000"/>
          <w:kern w:val="0"/>
          <w:szCs w:val="21"/>
          <w:lang w:bidi="ar"/>
        </w:rPr>
        <w:t>01mg／kg，总量不超过0</w:t>
      </w:r>
      <w:r>
        <w:rPr>
          <w:rFonts w:ascii="宋体" w:hAnsi="宋体" w:eastAsia="宋体" w:cs="宋体"/>
          <w:color w:val="000000"/>
          <w:kern w:val="0"/>
          <w:szCs w:val="21"/>
          <w:lang w:bidi="ar"/>
        </w:rPr>
        <w:t>.</w:t>
      </w:r>
      <w:r>
        <w:rPr>
          <w:rFonts w:hint="eastAsia" w:ascii="宋体" w:hAnsi="宋体" w:eastAsia="宋体" w:cs="宋体"/>
          <w:color w:val="000000"/>
          <w:kern w:val="0"/>
          <w:szCs w:val="21"/>
          <w:lang w:bidi="ar"/>
        </w:rPr>
        <w:t>3mg。血压降低时肌内注射1：1000的肾上腺素：成人剂</w:t>
      </w:r>
      <w:r>
        <w:rPr>
          <w:rFonts w:hint="eastAsia" w:ascii="宋体" w:hAnsi="宋体" w:eastAsia="宋体" w:cs="宋体"/>
          <w:color w:val="000000"/>
          <w:kern w:val="0"/>
          <w:sz w:val="17"/>
          <w:szCs w:val="17"/>
          <w:lang w:bidi="ar"/>
        </w:rPr>
        <w:t>量</w:t>
      </w:r>
      <w:r>
        <w:rPr>
          <w:rFonts w:hint="eastAsia" w:ascii="宋体" w:hAnsi="宋体" w:eastAsia="宋体" w:cs="宋体"/>
          <w:color w:val="000000"/>
          <w:kern w:val="0"/>
          <w:szCs w:val="21"/>
          <w:lang w:bidi="ar"/>
        </w:rPr>
        <w:t>0</w:t>
      </w:r>
      <w:r>
        <w:rPr>
          <w:rFonts w:ascii="宋体" w:hAnsi="宋体" w:eastAsia="宋体" w:cs="宋体"/>
          <w:color w:val="000000"/>
          <w:kern w:val="0"/>
          <w:szCs w:val="21"/>
          <w:lang w:bidi="ar"/>
        </w:rPr>
        <w:t>.</w:t>
      </w:r>
      <w:r>
        <w:rPr>
          <w:rFonts w:hint="eastAsia" w:ascii="宋体" w:hAnsi="宋体" w:eastAsia="宋体" w:cs="宋体"/>
          <w:color w:val="000000"/>
          <w:kern w:val="0"/>
          <w:szCs w:val="21"/>
          <w:lang w:bidi="ar"/>
        </w:rPr>
        <w:t>5mL(O</w:t>
      </w:r>
      <w:r>
        <w:rPr>
          <w:rFonts w:ascii="宋体" w:hAnsi="宋体" w:eastAsia="宋体" w:cs="宋体"/>
          <w:color w:val="000000"/>
          <w:kern w:val="0"/>
          <w:szCs w:val="21"/>
          <w:lang w:bidi="ar"/>
        </w:rPr>
        <w:t>.</w:t>
      </w:r>
      <w:r>
        <w:rPr>
          <w:rFonts w:hint="eastAsia" w:ascii="宋体" w:hAnsi="宋体" w:eastAsia="宋体" w:cs="宋体"/>
          <w:color w:val="000000"/>
          <w:kern w:val="0"/>
          <w:szCs w:val="21"/>
          <w:lang w:bidi="ar"/>
        </w:rPr>
        <w:t>5mg)，6～12岁儿童0</w:t>
      </w:r>
      <w:r>
        <w:rPr>
          <w:rFonts w:ascii="宋体" w:hAnsi="宋体" w:eastAsia="宋体" w:cs="宋体"/>
          <w:color w:val="000000"/>
          <w:kern w:val="0"/>
          <w:szCs w:val="21"/>
          <w:lang w:bidi="ar"/>
        </w:rPr>
        <w:t>.</w:t>
      </w:r>
      <w:r>
        <w:rPr>
          <w:rFonts w:hint="eastAsia" w:ascii="宋体" w:hAnsi="宋体" w:eastAsia="宋体" w:cs="宋体"/>
          <w:color w:val="000000"/>
          <w:kern w:val="0"/>
          <w:szCs w:val="21"/>
          <w:lang w:bidi="ar"/>
        </w:rPr>
        <w:t>3mL(O</w:t>
      </w:r>
      <w:r>
        <w:rPr>
          <w:rFonts w:ascii="宋体" w:hAnsi="宋体" w:eastAsia="宋体" w:cs="宋体"/>
          <w:color w:val="000000"/>
          <w:kern w:val="0"/>
          <w:szCs w:val="21"/>
          <w:lang w:bidi="ar"/>
        </w:rPr>
        <w:t>.</w:t>
      </w:r>
      <w:r>
        <w:rPr>
          <w:rFonts w:hint="eastAsia" w:ascii="宋体" w:hAnsi="宋体" w:eastAsia="宋体" w:cs="宋体"/>
          <w:color w:val="000000"/>
          <w:kern w:val="0"/>
          <w:szCs w:val="21"/>
          <w:lang w:bidi="ar"/>
        </w:rPr>
        <w:t>3mg)，6岁以下儿童0</w:t>
      </w:r>
      <w:r>
        <w:rPr>
          <w:rFonts w:ascii="宋体" w:hAnsi="宋体" w:eastAsia="宋体" w:cs="宋体"/>
          <w:color w:val="000000"/>
          <w:kern w:val="0"/>
          <w:szCs w:val="21"/>
          <w:lang w:bidi="ar"/>
        </w:rPr>
        <w:t>.</w:t>
      </w:r>
      <w:r>
        <w:rPr>
          <w:rFonts w:hint="eastAsia" w:ascii="宋体" w:hAnsi="宋体" w:eastAsia="宋体" w:cs="宋体"/>
          <w:color w:val="000000"/>
          <w:kern w:val="0"/>
          <w:szCs w:val="21"/>
          <w:lang w:bidi="ar"/>
        </w:rPr>
        <w:t>15mL(0</w:t>
      </w:r>
      <w:r>
        <w:rPr>
          <w:rFonts w:ascii="宋体" w:hAnsi="宋体" w:eastAsia="宋体" w:cs="宋体"/>
          <w:color w:val="000000"/>
          <w:kern w:val="0"/>
          <w:szCs w:val="21"/>
          <w:lang w:bidi="ar"/>
        </w:rPr>
        <w:t>.</w:t>
      </w:r>
      <w:r>
        <w:rPr>
          <w:rFonts w:hint="eastAsia" w:ascii="宋体" w:hAnsi="宋体" w:eastAsia="宋体" w:cs="宋体"/>
          <w:color w:val="000000"/>
          <w:kern w:val="0"/>
          <w:szCs w:val="21"/>
          <w:lang w:bidi="ar"/>
        </w:rPr>
        <w:t>15mg)</w:t>
      </w:r>
    </w:p>
    <w:p>
      <w:pPr>
        <w:pStyle w:val="37"/>
        <w:widowControl/>
        <w:numPr>
          <w:ilvl w:val="0"/>
          <w:numId w:val="13"/>
        </w:numPr>
        <w:spacing w:after="120" w:line="360" w:lineRule="exact"/>
        <w:ind w:left="851" w:firstLineChars="0"/>
        <w:contextualSpacing/>
        <w:jc w:val="left"/>
        <w:rPr>
          <w:rFonts w:asciiTheme="minorEastAsia" w:hAnsiTheme="minorEastAsia"/>
        </w:rPr>
      </w:pPr>
      <w:r>
        <w:rPr>
          <w:rFonts w:hint="eastAsia" w:asciiTheme="minorEastAsia" w:hAnsiTheme="minorEastAsia"/>
        </w:rPr>
        <w:t>抗组胺药物：如苯海拉明25-50mg im/iv；雷尼替丁50mg iv</w:t>
      </w:r>
    </w:p>
    <w:p>
      <w:pPr>
        <w:pStyle w:val="37"/>
        <w:widowControl/>
        <w:numPr>
          <w:ilvl w:val="0"/>
          <w:numId w:val="13"/>
        </w:numPr>
        <w:spacing w:after="120" w:line="360" w:lineRule="exact"/>
        <w:ind w:left="851" w:firstLineChars="0"/>
        <w:contextualSpacing/>
        <w:jc w:val="left"/>
        <w:rPr>
          <w:rFonts w:asciiTheme="minorEastAsia" w:hAnsiTheme="minorEastAsia"/>
        </w:rPr>
      </w:pPr>
      <w:r>
        <w:rPr>
          <w:rFonts w:hint="eastAsia" w:asciiTheme="minorEastAsia" w:hAnsiTheme="minorEastAsia"/>
        </w:rPr>
        <w:t>糖皮质激素：如氢化可的松（200</w:t>
      </w:r>
      <w:r>
        <w:rPr>
          <w:rFonts w:asciiTheme="minorEastAsia" w:hAnsiTheme="minorEastAsia"/>
        </w:rPr>
        <w:t>–</w:t>
      </w:r>
      <w:r>
        <w:rPr>
          <w:rFonts w:hint="eastAsia" w:asciiTheme="minorEastAsia" w:hAnsiTheme="minorEastAsia"/>
        </w:rPr>
        <w:t>400</w:t>
      </w:r>
      <w:r>
        <w:rPr>
          <w:rFonts w:asciiTheme="minorEastAsia" w:hAnsiTheme="minorEastAsia"/>
        </w:rPr>
        <w:t>mg</w:t>
      </w:r>
      <w:r>
        <w:rPr>
          <w:rFonts w:hint="eastAsia" w:asciiTheme="minorEastAsia" w:hAnsiTheme="minorEastAsia"/>
        </w:rPr>
        <w:t>静脉滴注），用于抑制过敏反应</w:t>
      </w:r>
    </w:p>
    <w:p>
      <w:pPr>
        <w:pStyle w:val="37"/>
        <w:widowControl/>
        <w:numPr>
          <w:ilvl w:val="0"/>
          <w:numId w:val="13"/>
        </w:numPr>
        <w:spacing w:after="120" w:line="360" w:lineRule="exact"/>
        <w:ind w:left="851" w:firstLineChars="0"/>
        <w:contextualSpacing/>
        <w:jc w:val="left"/>
        <w:rPr>
          <w:rFonts w:asciiTheme="minorEastAsia" w:hAnsiTheme="minorEastAsia"/>
        </w:rPr>
      </w:pPr>
      <w:r>
        <w:rPr>
          <w:rFonts w:hint="eastAsia" w:asciiTheme="minorEastAsia" w:hAnsiTheme="minorEastAsia"/>
        </w:rPr>
        <w:t>血管活性药物：如多巴胺、去甲肾上腺素等</w:t>
      </w:r>
    </w:p>
    <w:p>
      <w:pPr>
        <w:pStyle w:val="37"/>
        <w:widowControl/>
        <w:numPr>
          <w:ilvl w:val="0"/>
          <w:numId w:val="13"/>
        </w:numPr>
        <w:spacing w:after="120" w:line="360" w:lineRule="exact"/>
        <w:ind w:left="851" w:firstLineChars="0"/>
        <w:contextualSpacing/>
        <w:jc w:val="left"/>
        <w:rPr>
          <w:rFonts w:asciiTheme="minorEastAsia" w:hAnsiTheme="minorEastAsia"/>
        </w:rPr>
      </w:pPr>
      <w:r>
        <w:rPr>
          <w:rFonts w:hint="eastAsia" w:asciiTheme="minorEastAsia" w:hAnsiTheme="minorEastAsia"/>
        </w:rPr>
        <w:t>扩容液体：快速补充有效循环血量，纠正因血管扩张、毛细血管渗漏及低血压导致的组织低灌注，生理盐水或林格液约15-30ml/kg</w:t>
      </w:r>
    </w:p>
    <w:p>
      <w:pPr>
        <w:pStyle w:val="37"/>
        <w:widowControl/>
        <w:numPr>
          <w:ilvl w:val="0"/>
          <w:numId w:val="13"/>
        </w:numPr>
        <w:spacing w:after="120" w:line="360" w:lineRule="exact"/>
        <w:ind w:left="851" w:firstLineChars="0"/>
        <w:contextualSpacing/>
        <w:jc w:val="left"/>
        <w:rPr>
          <w:rFonts w:asciiTheme="minorEastAsia" w:hAnsiTheme="minorEastAsia"/>
        </w:rPr>
      </w:pPr>
      <w:r>
        <w:rPr>
          <w:rFonts w:hint="eastAsia" w:asciiTheme="minorEastAsia" w:hAnsiTheme="minorEastAsia"/>
        </w:rPr>
        <w:t>必须严格执行双人核对制度，记录药物名称、剂量、时间、途径</w:t>
      </w:r>
    </w:p>
    <w:p>
      <w:pPr>
        <w:pStyle w:val="26"/>
        <w:numPr>
          <w:ilvl w:val="1"/>
          <w:numId w:val="3"/>
        </w:numPr>
        <w:spacing w:after="120" w:line="360" w:lineRule="exact"/>
        <w:ind w:firstLineChars="0"/>
        <w:rPr>
          <w:rFonts w:ascii="黑体" w:hAnsi="黑体" w:eastAsia="黑体" w:cs="黑体"/>
        </w:rPr>
      </w:pPr>
      <w:r>
        <w:rPr>
          <w:rFonts w:hint="eastAsia" w:ascii="黑体" w:hAnsi="黑体" w:eastAsia="黑体" w:cs="黑体"/>
        </w:rPr>
        <w:t>气道管理</w:t>
      </w:r>
    </w:p>
    <w:p>
      <w:pPr>
        <w:spacing w:after="120" w:line="360" w:lineRule="exact"/>
        <w:ind w:firstLine="454"/>
        <w:rPr>
          <w:rFonts w:asciiTheme="minorEastAsia" w:hAnsiTheme="minorEastAsia"/>
        </w:rPr>
      </w:pPr>
      <w:r>
        <w:rPr>
          <w:rFonts w:asciiTheme="minorEastAsia" w:hAnsiTheme="minorEastAsia"/>
        </w:rPr>
        <w:t>在心脏介入术中发生碘对比剂</w:t>
      </w:r>
      <w:r>
        <w:rPr>
          <w:rFonts w:hint="eastAsia" w:asciiTheme="minorEastAsia" w:hAnsiTheme="minorEastAsia"/>
        </w:rPr>
        <w:t>过敏性休克</w:t>
      </w:r>
      <w:r>
        <w:rPr>
          <w:rFonts w:asciiTheme="minorEastAsia" w:hAnsiTheme="minorEastAsia"/>
        </w:rPr>
        <w:t>时，气道管理是急救护理流程中的核心环节</w:t>
      </w:r>
      <w:r>
        <w:rPr>
          <w:rFonts w:hint="eastAsia" w:asciiTheme="minorEastAsia" w:hAnsiTheme="minorEastAsia"/>
        </w:rPr>
        <w:t>之一</w:t>
      </w:r>
      <w:r>
        <w:rPr>
          <w:rFonts w:asciiTheme="minorEastAsia" w:hAnsiTheme="minorEastAsia"/>
        </w:rPr>
        <w:t>，必须迅速评估并保障气道通畅，防止窒息和低氧血症。</w:t>
      </w:r>
      <w:r>
        <w:rPr>
          <w:rFonts w:hint="eastAsia" w:asciiTheme="minorEastAsia" w:hAnsiTheme="minorEastAsia"/>
        </w:rPr>
        <w:t>发生过敏性休克时可能导致气道阻塞，应重点关注气道通畅：</w:t>
      </w:r>
    </w:p>
    <w:p>
      <w:pPr>
        <w:pStyle w:val="37"/>
        <w:widowControl/>
        <w:numPr>
          <w:ilvl w:val="0"/>
          <w:numId w:val="14"/>
        </w:numPr>
        <w:spacing w:after="120" w:line="360" w:lineRule="exact"/>
        <w:ind w:firstLineChars="0"/>
        <w:contextualSpacing/>
        <w:jc w:val="left"/>
        <w:rPr>
          <w:rFonts w:asciiTheme="minorEastAsia" w:hAnsiTheme="minorEastAsia"/>
        </w:rPr>
      </w:pPr>
      <w:r>
        <w:rPr>
          <w:rFonts w:hint="eastAsia" w:asciiTheme="minorEastAsia" w:hAnsiTheme="minorEastAsia"/>
        </w:rPr>
        <w:t>立即给予高浓度氧气，6-10L/min面罩吸氧，纠正缺氧，</w:t>
      </w:r>
      <w:r>
        <w:t>缺氧严重者可给予100%纯氧吸入</w:t>
      </w:r>
    </w:p>
    <w:p>
      <w:pPr>
        <w:pStyle w:val="37"/>
        <w:widowControl/>
        <w:numPr>
          <w:ilvl w:val="0"/>
          <w:numId w:val="14"/>
        </w:numPr>
        <w:spacing w:after="120" w:line="360" w:lineRule="exact"/>
        <w:ind w:firstLineChars="0"/>
        <w:contextualSpacing/>
        <w:jc w:val="left"/>
        <w:rPr>
          <w:rFonts w:asciiTheme="minorEastAsia" w:hAnsiTheme="minorEastAsia"/>
        </w:rPr>
      </w:pPr>
      <w:r>
        <w:rPr>
          <w:rFonts w:hint="eastAsia" w:asciiTheme="minorEastAsia" w:hAnsiTheme="minorEastAsia"/>
        </w:rPr>
        <w:t>评估气道是否阻塞，</w:t>
      </w:r>
      <w:r>
        <w:t>持续观察患者呼吸频率、节律、深度，判断</w:t>
      </w:r>
      <w:r>
        <w:rPr>
          <w:rFonts w:hint="eastAsia" w:asciiTheme="minorEastAsia" w:hAnsiTheme="minorEastAsia"/>
        </w:rPr>
        <w:t>是否出现喉头水肿、痰液堵塞、气管痉挛。</w:t>
      </w:r>
    </w:p>
    <w:p>
      <w:pPr>
        <w:pStyle w:val="37"/>
        <w:widowControl/>
        <w:numPr>
          <w:ilvl w:val="0"/>
          <w:numId w:val="14"/>
        </w:numPr>
        <w:spacing w:after="120" w:line="360" w:lineRule="exact"/>
        <w:ind w:firstLineChars="0"/>
        <w:contextualSpacing/>
        <w:jc w:val="left"/>
        <w:rPr>
          <w:rFonts w:asciiTheme="minorEastAsia" w:hAnsiTheme="minorEastAsia"/>
        </w:rPr>
      </w:pPr>
      <w:r>
        <w:rPr>
          <w:rFonts w:hint="eastAsia" w:asciiTheme="minorEastAsia" w:hAnsiTheme="minorEastAsia"/>
        </w:rPr>
        <w:t>准备气道开放设备，如喉镜、气管插管用物、环甲膜穿刺用物、口咽通气管、呼吸皮囊、吸引器</w:t>
      </w:r>
    </w:p>
    <w:p>
      <w:pPr>
        <w:pStyle w:val="37"/>
        <w:widowControl/>
        <w:numPr>
          <w:ilvl w:val="0"/>
          <w:numId w:val="14"/>
        </w:numPr>
        <w:spacing w:after="120" w:line="360" w:lineRule="exact"/>
        <w:ind w:firstLineChars="0"/>
        <w:contextualSpacing/>
        <w:jc w:val="left"/>
        <w:rPr>
          <w:rFonts w:asciiTheme="minorEastAsia" w:hAnsiTheme="minorEastAsia"/>
        </w:rPr>
      </w:pPr>
      <w:r>
        <w:rPr>
          <w:rFonts w:hint="eastAsia" w:asciiTheme="minorEastAsia" w:hAnsiTheme="minorEastAsia"/>
        </w:rPr>
        <w:t>监测呼吸频率、潮气量、</w:t>
      </w:r>
      <w:r>
        <w:rPr>
          <w:rFonts w:asciiTheme="minorEastAsia" w:hAnsiTheme="minorEastAsia"/>
        </w:rPr>
        <w:t>SpO</w:t>
      </w:r>
      <w:r>
        <w:rPr>
          <w:rFonts w:ascii="Times New Roman" w:hAnsi="Times New Roman" w:cs="Times New Roman"/>
        </w:rPr>
        <w:t>₂</w:t>
      </w:r>
      <w:r>
        <w:rPr>
          <w:rFonts w:hint="eastAsia" w:asciiTheme="minorEastAsia" w:hAnsiTheme="minorEastAsia"/>
        </w:rPr>
        <w:t>，防止低氧血症</w:t>
      </w:r>
    </w:p>
    <w:p>
      <w:pPr>
        <w:pStyle w:val="37"/>
        <w:widowControl/>
        <w:numPr>
          <w:ilvl w:val="0"/>
          <w:numId w:val="14"/>
        </w:numPr>
        <w:spacing w:after="120" w:line="360" w:lineRule="exact"/>
        <w:ind w:firstLineChars="0"/>
        <w:contextualSpacing/>
        <w:jc w:val="left"/>
        <w:rPr>
          <w:rFonts w:asciiTheme="minorEastAsia" w:hAnsiTheme="minorEastAsia"/>
        </w:rPr>
      </w:pPr>
      <w:r>
        <w:rPr>
          <w:rFonts w:hint="eastAsia" w:asciiTheme="minorEastAsia" w:hAnsiTheme="minorEastAsia"/>
        </w:rPr>
        <w:t>如发生气道阻塞，进行紧急气道管理，行气管插管或环甲膜穿刺/切开</w:t>
      </w:r>
    </w:p>
    <w:p>
      <w:pPr>
        <w:pStyle w:val="26"/>
        <w:numPr>
          <w:ilvl w:val="2"/>
          <w:numId w:val="3"/>
        </w:numPr>
        <w:spacing w:after="120" w:line="360" w:lineRule="exact"/>
        <w:ind w:firstLine="0" w:firstLineChars="0"/>
        <w:rPr>
          <w:rFonts w:ascii="黑体" w:hAnsi="黑体" w:eastAsia="黑体" w:cs="黑体"/>
        </w:rPr>
      </w:pPr>
      <w:r>
        <w:rPr>
          <w:rFonts w:hint="eastAsia" w:ascii="黑体" w:hAnsi="黑体" w:eastAsia="黑体" w:cs="黑体"/>
        </w:rPr>
        <w:t>困难气道管理</w:t>
      </w:r>
    </w:p>
    <w:p>
      <w:pPr>
        <w:widowControl/>
        <w:spacing w:after="120" w:line="360" w:lineRule="exact"/>
        <w:contextualSpacing/>
        <w:jc w:val="left"/>
        <w:rPr>
          <w:rFonts w:asciiTheme="minorEastAsia" w:hAnsiTheme="minorEastAsia"/>
        </w:rPr>
      </w:pPr>
      <w:r>
        <w:rPr>
          <w:rFonts w:asciiTheme="minorEastAsia" w:hAnsiTheme="minorEastAsia"/>
        </w:rPr>
        <w:tab/>
      </w:r>
      <w:r>
        <w:rPr>
          <w:rFonts w:asciiTheme="minorEastAsia" w:hAnsiTheme="minorEastAsia"/>
        </w:rPr>
        <w:t>心血管介入患者多为老年患者，部分患者合并肥胖、颈短、睡眠呼吸暂停、张口受限、颈椎活动受限或既往困难气道史，发生急性喉头水肿、支气管痉挛或意识障碍后，可能增加面罩通气及气管插管难度。因此，导管室应建立困难气道应急预案，并配备相应设备。</w:t>
      </w:r>
    </w:p>
    <w:p>
      <w:pPr>
        <w:pStyle w:val="37"/>
        <w:widowControl/>
        <w:numPr>
          <w:ilvl w:val="0"/>
          <w:numId w:val="15"/>
        </w:numPr>
        <w:spacing w:before="0" w:beforeAutospacing="0" w:after="120" w:afterAutospacing="0" w:line="360" w:lineRule="exact"/>
        <w:ind w:left="800" w:hanging="440" w:firstLineChars="0"/>
        <w:contextualSpacing/>
        <w:jc w:val="left"/>
        <w:rPr>
          <w:rFonts w:asciiTheme="minorEastAsia" w:hAnsiTheme="minorEastAsia" w:eastAsiaTheme="minorEastAsia" w:cstheme="minorBidi"/>
          <w:kern w:val="2"/>
          <w:sz w:val="21"/>
          <w:lang w:val="en-US"/>
        </w:rPr>
      </w:pPr>
      <w:r>
        <w:rPr>
          <w:rFonts w:asciiTheme="minorEastAsia" w:hAnsiTheme="minorEastAsia" w:eastAsiaTheme="minorEastAsia" w:cstheme="minorBidi"/>
          <w:kern w:val="2"/>
          <w:sz w:val="21"/>
          <w:lang w:val="en-US"/>
        </w:rPr>
        <w:t>导管室应常规准备气道开放及困难气道相关设备，包括喉镜、视频喉镜、气管导管、管芯、口咽通气道、鼻咽通气道、简易呼吸器、吸引装置、声门上气道设备、环甲膜穿刺或切开用物等，并定期检查设备功能状态，确保紧急情况下可立即取用。</w:t>
      </w:r>
    </w:p>
    <w:p>
      <w:pPr>
        <w:pStyle w:val="37"/>
        <w:widowControl/>
        <w:numPr>
          <w:ilvl w:val="0"/>
          <w:numId w:val="15"/>
        </w:numPr>
        <w:spacing w:before="0" w:beforeAutospacing="0" w:after="120" w:afterAutospacing="0" w:line="360" w:lineRule="exact"/>
        <w:ind w:left="800" w:hanging="440" w:firstLineChars="0"/>
        <w:contextualSpacing/>
        <w:jc w:val="left"/>
        <w:rPr>
          <w:rFonts w:asciiTheme="minorEastAsia" w:hAnsiTheme="minorEastAsia" w:eastAsiaTheme="minorEastAsia" w:cstheme="minorBidi"/>
          <w:kern w:val="2"/>
          <w:sz w:val="21"/>
          <w:lang w:val="en-US"/>
        </w:rPr>
      </w:pPr>
      <w:r>
        <w:rPr>
          <w:rFonts w:asciiTheme="minorEastAsia" w:hAnsiTheme="minorEastAsia" w:eastAsiaTheme="minorEastAsia" w:cstheme="minorBidi"/>
          <w:kern w:val="2"/>
          <w:sz w:val="21"/>
          <w:lang w:val="en-US"/>
        </w:rPr>
        <w:t>若首次气管插管失败，应立即恢复面罩通气或简易呼吸器辅助通气，优先保证氧合，不应因反复尝试插管而延误纠正低氧血症。应及时启用困难气道预案，根据医师判断调整插管方式，可使用视频喉镜、管芯辅助、改变体位或更换操作者等措施。</w:t>
      </w:r>
    </w:p>
    <w:p>
      <w:pPr>
        <w:pStyle w:val="37"/>
        <w:widowControl/>
        <w:numPr>
          <w:ilvl w:val="0"/>
          <w:numId w:val="15"/>
        </w:numPr>
        <w:spacing w:before="0" w:beforeAutospacing="0" w:after="120" w:afterAutospacing="0" w:line="360" w:lineRule="exact"/>
        <w:ind w:left="800" w:hanging="440" w:firstLineChars="0"/>
        <w:contextualSpacing/>
        <w:jc w:val="left"/>
        <w:rPr>
          <w:rFonts w:asciiTheme="minorEastAsia" w:hAnsiTheme="minorEastAsia" w:eastAsiaTheme="minorEastAsia" w:cstheme="minorBidi"/>
          <w:kern w:val="2"/>
          <w:sz w:val="21"/>
          <w:lang w:val="en-US"/>
        </w:rPr>
      </w:pPr>
      <w:r>
        <w:rPr>
          <w:rFonts w:asciiTheme="minorEastAsia" w:hAnsiTheme="minorEastAsia" w:eastAsiaTheme="minorEastAsia" w:cstheme="minorBidi"/>
          <w:kern w:val="2"/>
          <w:sz w:val="21"/>
          <w:lang w:val="en-US"/>
        </w:rPr>
        <w:t>若气管插管失败且面罩通气效果不佳，应在医师或麻醉科医师指导下尽快使用声门上气道设备，如喉罩等，以维持有效通气和氧合。声门上气道设备置入后，应观察胸廓起伏、SpO</w:t>
      </w:r>
      <w:r>
        <w:rPr>
          <w:rFonts w:ascii="Cambria Math" w:hAnsi="Cambria Math" w:cs="Cambria Math" w:eastAsiaTheme="minorEastAsia"/>
          <w:kern w:val="2"/>
          <w:sz w:val="21"/>
          <w:lang w:val="en-US"/>
        </w:rPr>
        <w:t>₂</w:t>
      </w:r>
      <w:r>
        <w:rPr>
          <w:rFonts w:asciiTheme="minorEastAsia" w:hAnsiTheme="minorEastAsia" w:eastAsiaTheme="minorEastAsia" w:cstheme="minorBidi"/>
          <w:kern w:val="2"/>
          <w:sz w:val="21"/>
          <w:lang w:val="en-US"/>
        </w:rPr>
        <w:t>、呼气末二氧化碳波形及通气阻力，判断通气效果。</w:t>
      </w:r>
    </w:p>
    <w:p>
      <w:pPr>
        <w:pStyle w:val="37"/>
        <w:widowControl/>
        <w:numPr>
          <w:ilvl w:val="0"/>
          <w:numId w:val="15"/>
        </w:numPr>
        <w:spacing w:after="120" w:line="360" w:lineRule="exact"/>
        <w:ind w:left="800" w:hanging="440" w:firstLineChars="0"/>
        <w:contextualSpacing/>
        <w:jc w:val="left"/>
        <w:rPr>
          <w:rFonts w:asciiTheme="minorEastAsia" w:hAnsiTheme="minorEastAsia"/>
        </w:rPr>
      </w:pPr>
      <w:r>
        <w:rPr>
          <w:rFonts w:asciiTheme="minorEastAsia" w:hAnsiTheme="minorEastAsia" w:eastAsiaTheme="minorEastAsia" w:cstheme="minorBidi"/>
          <w:kern w:val="2"/>
          <w:sz w:val="21"/>
          <w:lang w:val="en-US"/>
        </w:rPr>
        <w:t>若出现“不能插管、不能氧合”情况，应立即启动紧急外科气道流程，配合医师实施环甲膜穿刺、环甲膜切开或气管切开等紧急气道处理，并同步进行心电、血压、SpO</w:t>
      </w:r>
      <w:r>
        <w:rPr>
          <w:rFonts w:ascii="Cambria Math" w:hAnsi="Cambria Math" w:cs="Cambria Math" w:eastAsiaTheme="minorEastAsia"/>
          <w:kern w:val="2"/>
          <w:sz w:val="21"/>
          <w:lang w:val="en-US"/>
        </w:rPr>
        <w:t>₂</w:t>
      </w:r>
      <w:r>
        <w:rPr>
          <w:rFonts w:asciiTheme="minorEastAsia" w:hAnsiTheme="minorEastAsia" w:eastAsiaTheme="minorEastAsia" w:cstheme="minorBidi"/>
          <w:kern w:val="2"/>
          <w:sz w:val="21"/>
          <w:lang w:val="en-US"/>
        </w:rPr>
        <w:t>、呼吸频率及意识状态监测。</w:t>
      </w:r>
    </w:p>
    <w:p>
      <w:pPr>
        <w:pStyle w:val="25"/>
        <w:numPr>
          <w:ilvl w:val="0"/>
          <w:numId w:val="3"/>
        </w:numPr>
        <w:spacing w:before="240" w:beforeLines="100" w:after="240" w:afterLines="100"/>
        <w:rPr>
          <w:rFonts w:ascii="Times New Roman"/>
        </w:rPr>
      </w:pPr>
      <w:bookmarkStart w:id="32" w:name="_Toc220090203"/>
      <w:bookmarkEnd w:id="32"/>
      <w:bookmarkStart w:id="33" w:name="_Toc220090186"/>
      <w:bookmarkEnd w:id="33"/>
      <w:bookmarkStart w:id="34" w:name="_Toc220090216"/>
      <w:bookmarkEnd w:id="34"/>
      <w:bookmarkStart w:id="35" w:name="_Toc220090217"/>
      <w:bookmarkEnd w:id="35"/>
      <w:bookmarkStart w:id="36" w:name="_Toc220090193"/>
      <w:bookmarkEnd w:id="36"/>
      <w:bookmarkStart w:id="37" w:name="_Toc220090208"/>
      <w:bookmarkEnd w:id="37"/>
      <w:bookmarkStart w:id="38" w:name="_Toc220090219"/>
      <w:bookmarkEnd w:id="38"/>
      <w:bookmarkStart w:id="39" w:name="_Toc220090197"/>
      <w:bookmarkEnd w:id="39"/>
      <w:bookmarkStart w:id="40" w:name="_Toc220090190"/>
      <w:bookmarkEnd w:id="40"/>
      <w:bookmarkStart w:id="41" w:name="_Toc220090205"/>
      <w:bookmarkEnd w:id="41"/>
      <w:bookmarkStart w:id="42" w:name="_Toc220090187"/>
      <w:bookmarkEnd w:id="42"/>
      <w:bookmarkStart w:id="43" w:name="_Toc220090214"/>
      <w:bookmarkEnd w:id="43"/>
      <w:bookmarkStart w:id="44" w:name="_Toc220090209"/>
      <w:bookmarkEnd w:id="44"/>
      <w:bookmarkStart w:id="45" w:name="_Toc220090215"/>
      <w:bookmarkEnd w:id="45"/>
      <w:bookmarkStart w:id="46" w:name="_Toc220090218"/>
      <w:bookmarkEnd w:id="46"/>
      <w:bookmarkStart w:id="47" w:name="_Toc220090183"/>
      <w:bookmarkEnd w:id="47"/>
      <w:bookmarkStart w:id="48" w:name="_Toc220090188"/>
      <w:bookmarkEnd w:id="48"/>
      <w:bookmarkStart w:id="49" w:name="_Toc220090198"/>
      <w:bookmarkEnd w:id="49"/>
      <w:bookmarkStart w:id="50" w:name="_Toc220090202"/>
      <w:bookmarkEnd w:id="50"/>
      <w:bookmarkStart w:id="51" w:name="_Toc220090210"/>
      <w:bookmarkEnd w:id="51"/>
      <w:bookmarkStart w:id="52" w:name="_Toc220090182"/>
      <w:bookmarkEnd w:id="52"/>
      <w:bookmarkStart w:id="53" w:name="_Toc220090213"/>
      <w:bookmarkEnd w:id="53"/>
      <w:bookmarkStart w:id="54" w:name="_Toc220090207"/>
      <w:bookmarkEnd w:id="54"/>
      <w:bookmarkStart w:id="55" w:name="_Toc220090212"/>
      <w:bookmarkEnd w:id="55"/>
      <w:bookmarkStart w:id="56" w:name="_Toc220090191"/>
      <w:bookmarkEnd w:id="56"/>
      <w:bookmarkStart w:id="57" w:name="_Toc220090184"/>
      <w:bookmarkEnd w:id="57"/>
      <w:bookmarkStart w:id="58" w:name="_Toc220090195"/>
      <w:bookmarkEnd w:id="58"/>
      <w:bookmarkStart w:id="59" w:name="_Toc220090194"/>
      <w:bookmarkEnd w:id="59"/>
      <w:bookmarkStart w:id="60" w:name="_Toc220090196"/>
      <w:bookmarkEnd w:id="60"/>
      <w:bookmarkStart w:id="61" w:name="_Toc220090206"/>
      <w:bookmarkEnd w:id="61"/>
      <w:bookmarkStart w:id="62" w:name="_Toc220090201"/>
      <w:bookmarkEnd w:id="62"/>
      <w:bookmarkStart w:id="63" w:name="_Toc220090211"/>
      <w:bookmarkEnd w:id="63"/>
      <w:bookmarkStart w:id="64" w:name="_Toc220090189"/>
      <w:bookmarkEnd w:id="64"/>
      <w:bookmarkStart w:id="65" w:name="_Toc220090185"/>
      <w:bookmarkEnd w:id="65"/>
      <w:bookmarkStart w:id="66" w:name="_Toc220090200"/>
      <w:bookmarkEnd w:id="66"/>
      <w:bookmarkStart w:id="67" w:name="_Toc220090199"/>
      <w:bookmarkEnd w:id="67"/>
      <w:bookmarkStart w:id="68" w:name="_Toc220090204"/>
      <w:bookmarkEnd w:id="68"/>
      <w:bookmarkStart w:id="69" w:name="_Toc220090192"/>
      <w:bookmarkEnd w:id="69"/>
      <w:bookmarkStart w:id="70" w:name="_Toc230724089"/>
      <w:r>
        <w:rPr>
          <w:rFonts w:hint="eastAsia" w:ascii="Times New Roman"/>
        </w:rPr>
        <w:t>心血管介入患者中特殊人群护理要点</w:t>
      </w:r>
      <w:bookmarkEnd w:id="70"/>
    </w:p>
    <w:p>
      <w:pPr>
        <w:pStyle w:val="26"/>
        <w:numPr>
          <w:ilvl w:val="1"/>
          <w:numId w:val="3"/>
        </w:numPr>
        <w:spacing w:after="120" w:line="360" w:lineRule="exact"/>
        <w:ind w:firstLineChars="0"/>
        <w:rPr>
          <w:rFonts w:ascii="黑体" w:hAnsi="黑体" w:eastAsia="黑体" w:cs="黑体"/>
        </w:rPr>
      </w:pPr>
      <w:r>
        <w:rPr>
          <w:rFonts w:hint="eastAsia" w:ascii="黑体" w:hAnsi="黑体" w:eastAsia="黑体" w:cs="黑体"/>
        </w:rPr>
        <w:t>心功能不全患者</w:t>
      </w:r>
    </w:p>
    <w:p>
      <w:pPr>
        <w:pStyle w:val="26"/>
        <w:spacing w:after="120" w:line="360" w:lineRule="exact"/>
        <w:ind w:firstLine="420" w:firstLineChars="0"/>
      </w:pPr>
      <w:r>
        <w:rPr>
          <w:rFonts w:hint="eastAsia"/>
        </w:rPr>
        <w:t>此类患者对容量负荷变化敏感，抢救时液体复苏应控制速度与总量。在保证有效循环灌注的前提下，严格监测中心静脉压或尿量，避免因过度水化导致心衰加重。必要时与医师共同评估使用正性肌力药物。</w:t>
      </w:r>
    </w:p>
    <w:p>
      <w:pPr>
        <w:pStyle w:val="26"/>
        <w:numPr>
          <w:ilvl w:val="2"/>
          <w:numId w:val="3"/>
        </w:numPr>
        <w:spacing w:after="120" w:line="360" w:lineRule="exact"/>
        <w:ind w:left="0" w:firstLineChars="0"/>
        <w:rPr>
          <w:rFonts w:ascii="黑体" w:hAnsi="黑体" w:eastAsia="黑体" w:cs="黑体"/>
        </w:rPr>
      </w:pPr>
      <w:r>
        <w:rPr>
          <w:rFonts w:hint="eastAsia" w:ascii="黑体" w:hAnsi="黑体" w:eastAsia="黑体" w:cs="黑体"/>
        </w:rPr>
        <w:t>液体复苏</w:t>
      </w:r>
    </w:p>
    <w:p>
      <w:pPr>
        <w:pStyle w:val="26"/>
        <w:spacing w:after="120" w:line="360" w:lineRule="exact"/>
        <w:ind w:firstLine="426" w:firstLineChars="0"/>
      </w:pPr>
      <w:r>
        <w:t xml:space="preserve">液体复苏需严格遵循 “量出为入、匀速输注” 原则，在保证有效循环灌注的前提下，控制液体输注速度与总量，避免因容量负荷骤增诱发急性心力衰竭。 </w:t>
      </w:r>
    </w:p>
    <w:p>
      <w:pPr>
        <w:pStyle w:val="26"/>
        <w:numPr>
          <w:ilvl w:val="2"/>
          <w:numId w:val="3"/>
        </w:numPr>
        <w:spacing w:after="120" w:line="360" w:lineRule="exact"/>
        <w:ind w:left="0" w:firstLineChars="0"/>
        <w:rPr>
          <w:rFonts w:ascii="黑体" w:hAnsi="黑体" w:eastAsia="黑体" w:cs="黑体"/>
        </w:rPr>
      </w:pPr>
      <w:r>
        <w:rPr>
          <w:rFonts w:hint="eastAsia" w:ascii="黑体" w:hAnsi="黑体" w:eastAsia="黑体" w:cs="黑体"/>
        </w:rPr>
        <w:t>心功能不全患者的抢救</w:t>
      </w:r>
    </w:p>
    <w:p>
      <w:pPr>
        <w:pStyle w:val="26"/>
        <w:spacing w:after="120" w:line="360" w:lineRule="exact"/>
        <w:ind w:firstLine="426" w:firstLineChars="0"/>
      </w:pPr>
      <w:r>
        <w:t>抢救期间密切监测患者心率、血压、中心静脉压（CVP）及肺部啰音变化，若出现胸闷、呼吸困难加重、咳粉红色泡沫痰等急性心衰表现，立即报告医生并遵医嘱调整补液方案，必要时配合使用利尿剂、血管扩张剂。</w:t>
      </w:r>
    </w:p>
    <w:p>
      <w:pPr>
        <w:pStyle w:val="26"/>
        <w:numPr>
          <w:ilvl w:val="2"/>
          <w:numId w:val="3"/>
        </w:numPr>
        <w:spacing w:after="120" w:line="360" w:lineRule="exact"/>
        <w:ind w:left="0" w:firstLineChars="0"/>
        <w:rPr>
          <w:rFonts w:ascii="黑体" w:hAnsi="黑体" w:eastAsia="黑体" w:cs="黑体"/>
        </w:rPr>
      </w:pPr>
      <w:r>
        <w:rPr>
          <w:rFonts w:hint="eastAsia" w:ascii="黑体" w:hAnsi="黑体" w:eastAsia="黑体" w:cs="黑体"/>
        </w:rPr>
        <w:t>血管活性药物</w:t>
      </w:r>
    </w:p>
    <w:p>
      <w:pPr>
        <w:pStyle w:val="26"/>
        <w:spacing w:after="120" w:line="360" w:lineRule="exact"/>
        <w:ind w:firstLine="426" w:firstLineChars="0"/>
      </w:pPr>
      <w:r>
        <w:t>血管活性药物使用时，采用输液泵精准控制输注速度，避免血压剧烈波动加重心肌耗氧。</w:t>
      </w:r>
    </w:p>
    <w:p>
      <w:pPr>
        <w:pStyle w:val="26"/>
        <w:numPr>
          <w:ilvl w:val="1"/>
          <w:numId w:val="3"/>
        </w:numPr>
        <w:spacing w:after="120" w:line="360" w:lineRule="exact"/>
        <w:ind w:firstLineChars="0"/>
        <w:rPr>
          <w:rFonts w:ascii="黑体" w:hAnsi="黑体" w:eastAsia="黑体" w:cs="黑体"/>
        </w:rPr>
      </w:pPr>
      <w:r>
        <w:rPr>
          <w:rFonts w:hint="eastAsia" w:ascii="黑体" w:hAnsi="黑体" w:eastAsia="黑体" w:cs="黑体"/>
        </w:rPr>
        <w:t>甲状腺功能不全患者</w:t>
      </w:r>
    </w:p>
    <w:p>
      <w:pPr>
        <w:pStyle w:val="26"/>
        <w:numPr>
          <w:ilvl w:val="0"/>
          <w:numId w:val="0"/>
        </w:numPr>
        <w:spacing w:after="120" w:line="360" w:lineRule="exact"/>
        <w:ind w:firstLine="426" w:firstLineChars="0"/>
        <w:rPr>
          <w:rFonts w:ascii="宋体" w:hAnsi="Times New Roman" w:eastAsia="宋体" w:cs="Times New Roman"/>
        </w:rPr>
      </w:pPr>
      <w:r>
        <w:rPr>
          <w:rFonts w:ascii="宋体" w:hAnsi="Times New Roman" w:eastAsia="宋体" w:cs="Times New Roman"/>
        </w:rPr>
        <w:t>甲状腺功能异常患者接受含碘对比剂后，可能出现甲状腺功能状态波动，并与心动过速、心律失常、血压波动、心肌缺血或心功能不全等心血管问题相互影响。护理人员术前应了解患者甲状腺疾病史、用药史及基础甲状腺功能情况，必要时遵医嘱完善TSH、FT3、FT4等检查</w:t>
      </w:r>
      <w:r>
        <w:rPr>
          <w:rFonts w:hint="eastAsia"/>
        </w:rPr>
        <w:t>。</w:t>
      </w:r>
      <w:r>
        <w:rPr>
          <w:rFonts w:ascii="宋体" w:hAnsi="Times New Roman" w:eastAsia="宋体" w:cs="Times New Roman"/>
        </w:rPr>
        <w:t>术后应根据患者基础情况、对比剂用量及病情变化，遵医嘱加强甲状腺功能动态监测和随访，并指导患者出现心悸、多汗、乏力、畏寒、水肿或原有心血管症状加重时及时就诊。</w:t>
      </w:r>
    </w:p>
    <w:p>
      <w:pPr>
        <w:pStyle w:val="26"/>
        <w:numPr>
          <w:ilvl w:val="1"/>
          <w:numId w:val="3"/>
        </w:numPr>
        <w:spacing w:after="120" w:line="360" w:lineRule="exact"/>
        <w:ind w:firstLineChars="0"/>
        <w:rPr>
          <w:rFonts w:ascii="黑体" w:hAnsi="黑体" w:eastAsia="黑体" w:cs="黑体"/>
        </w:rPr>
      </w:pPr>
      <w:r>
        <w:rPr>
          <w:rFonts w:hint="eastAsia" w:ascii="黑体" w:hAnsi="黑体" w:eastAsia="黑体" w:cs="黑体"/>
        </w:rPr>
        <w:t>肾功能不全患者</w:t>
      </w:r>
    </w:p>
    <w:p>
      <w:pPr>
        <w:pStyle w:val="26"/>
        <w:spacing w:after="120" w:line="360" w:lineRule="exact"/>
        <w:ind w:firstLine="420" w:firstLineChars="0"/>
      </w:pPr>
      <w:r>
        <w:t>术前需确认患者估算肾小球滤过率（eGFR）</w:t>
      </w:r>
      <w:r>
        <w:rPr>
          <w:rFonts w:hint="eastAsia"/>
        </w:rPr>
        <w:t>，对于eGFR＜30mL/（min·1.73m</w:t>
      </w:r>
      <w:r>
        <w:rPr>
          <w:rFonts w:hint="eastAsia"/>
          <w:vertAlign w:val="superscript"/>
        </w:rPr>
        <w:t>2</w:t>
      </w:r>
      <w:r>
        <w:rPr>
          <w:rFonts w:hint="eastAsia"/>
        </w:rPr>
        <w:t>）的患者，应在术前24–48h及术后48h内停用肾毒性药物并监测肾功能。若停药风险高，应结合病情个体化评估，可适当放宽水化条件。护理人员需强化液体入出量记录，术后关注尿量变化和水肿情况。肾功不全患者</w:t>
      </w:r>
      <w:r>
        <w:t>液体复苏优先选择等渗晶体液（0.9%氯化钠注射液），严格记录24 h液体出入量，重点监测每小时尿量，维持尿量≥0.5 mL/（kg·h）。术后密切监测肾功能指标，观察患者有无水肿、尿量减少等表现，一旦发现血清肌酐水平较基线升高≥0.5 mg/dL或25%，及时报告医生并协助处理。</w:t>
      </w:r>
    </w:p>
    <w:p>
      <w:pPr>
        <w:pStyle w:val="26"/>
        <w:numPr>
          <w:ilvl w:val="1"/>
          <w:numId w:val="3"/>
        </w:numPr>
        <w:spacing w:after="120" w:line="360" w:lineRule="exact"/>
        <w:ind w:firstLineChars="0"/>
        <w:rPr>
          <w:rFonts w:ascii="黑体" w:hAnsi="黑体" w:eastAsia="黑体" w:cs="黑体"/>
        </w:rPr>
      </w:pPr>
      <w:r>
        <w:rPr>
          <w:rFonts w:hint="eastAsia" w:ascii="黑体" w:hAnsi="黑体" w:eastAsia="黑体" w:cs="黑体"/>
        </w:rPr>
        <w:t>糖尿病患者</w:t>
      </w:r>
    </w:p>
    <w:p>
      <w:pPr>
        <w:pStyle w:val="26"/>
        <w:spacing w:after="120" w:line="360" w:lineRule="exact"/>
        <w:ind w:firstLine="420" w:firstLineChars="0"/>
      </w:pPr>
      <w:r>
        <w:t>术前评估患者血糖控制情况，遵医嘱停用二甲双胍</w:t>
      </w:r>
      <w:r>
        <w:rPr>
          <w:rFonts w:hint="eastAsia"/>
        </w:rPr>
        <w:t>，并加强水化</w:t>
      </w:r>
      <w:r>
        <w:t>，避免对比剂与药物联用增加肾损伤风险；其他降糖药物或胰岛素的使用需结合术前血糖值调整</w:t>
      </w:r>
      <w:r>
        <w:rPr>
          <w:rFonts w:hint="eastAsia"/>
        </w:rPr>
        <w:t>。</w:t>
      </w:r>
      <w:r>
        <w:t>抢救期间动态监测血糖变化，避免因应激状态或补液导致血糖大幅波动；备好50%葡萄糖注射液及胰岛素，遵医嘱及时纠正低血糖或高血糖。术后指导患者规律监测血糖，根据血糖结果调整饮食及用药方案，同时关注肾功能相关指标变化</w:t>
      </w:r>
      <w:r>
        <w:rPr>
          <w:rFonts w:hint="eastAsia"/>
        </w:rPr>
        <w:t>。</w:t>
      </w:r>
    </w:p>
    <w:p>
      <w:pPr>
        <w:pStyle w:val="26"/>
        <w:numPr>
          <w:ilvl w:val="1"/>
          <w:numId w:val="3"/>
        </w:numPr>
        <w:spacing w:after="120" w:line="360" w:lineRule="exact"/>
        <w:ind w:firstLineChars="0"/>
        <w:rPr>
          <w:rFonts w:ascii="黑体" w:hAnsi="黑体" w:eastAsia="黑体" w:cs="黑体"/>
        </w:rPr>
      </w:pPr>
      <w:r>
        <w:rPr>
          <w:rFonts w:hint="eastAsia" w:ascii="黑体" w:hAnsi="黑体" w:eastAsia="黑体" w:cs="黑体"/>
        </w:rPr>
        <w:t>老年患者</w:t>
      </w:r>
    </w:p>
    <w:p>
      <w:pPr>
        <w:pStyle w:val="26"/>
        <w:spacing w:after="120" w:line="360" w:lineRule="exact"/>
        <w:ind w:firstLine="420" w:firstLineChars="0"/>
        <w:rPr>
          <w:rFonts w:ascii="黑体" w:eastAsia="黑体"/>
          <w:b/>
          <w:bCs/>
          <w:sz w:val="32"/>
        </w:rPr>
      </w:pPr>
      <w:r>
        <w:rPr>
          <w:rFonts w:hint="eastAsia"/>
        </w:rPr>
        <w:t>65 岁及以上</w:t>
      </w:r>
      <w:r>
        <w:t>老年患者多合并心肾功能减退及多种基础疾病，术前需全面评估过敏史、基础疾病用药史及器官功能状态，术中尽量减少碘对比剂用量。急救药物剂量需严格遵循个体化原则，避免因药物蓄积引发不良反应；使用肾上腺素等血管活性药物时，加强心率、血压监测，警惕心律失常风险。液体复苏时采用低速、分次输注方式，密切观察患者意识、皮肤弹性及尿量变化，评估组织灌注情况，防止过度补液或补液不足。术后加强基础护理，预防压疮、肺部感染等并发症，同时做好健康宣教，指导患者及家属识别迟发性过敏反应的表现</w:t>
      </w:r>
      <w:r>
        <w:rPr>
          <w:rFonts w:hint="eastAsia"/>
        </w:rPr>
        <w:t>。</w:t>
      </w:r>
      <w:bookmarkEnd w:id="23"/>
      <w:bookmarkEnd w:id="24"/>
      <w:bookmarkStart w:id="71" w:name="_Ref215080721"/>
      <w:bookmarkStart w:id="72" w:name="_Ref215080732"/>
      <w:r>
        <w:rPr>
          <w:b/>
          <w:bCs/>
        </w:rPr>
        <w:br w:type="page"/>
      </w:r>
    </w:p>
    <w:bookmarkEnd w:id="71"/>
    <w:bookmarkEnd w:id="72"/>
    <w:p>
      <w:pPr>
        <w:widowControl/>
        <w:spacing w:line="360" w:lineRule="exact"/>
        <w:jc w:val="left"/>
        <w:rPr>
          <w:rFonts w:ascii="仿宋" w:hAnsi="仿宋" w:eastAsia="仿宋"/>
          <w:sz w:val="30"/>
          <w:szCs w:val="30"/>
        </w:rPr>
      </w:pPr>
    </w:p>
    <w:p>
      <w:pPr>
        <w:pStyle w:val="33"/>
        <w:spacing w:before="0" w:after="120"/>
        <w:rPr>
          <w:rFonts w:hAnsi="黑体" w:cs="黑体"/>
          <w:sz w:val="24"/>
          <w:szCs w:val="24"/>
        </w:rPr>
      </w:pPr>
      <w:bookmarkStart w:id="73" w:name="_Toc230724090"/>
      <w:r>
        <w:rPr>
          <w:rFonts w:hint="eastAsia" w:hAnsi="黑体" w:cs="黑体"/>
          <w:sz w:val="24"/>
          <w:szCs w:val="24"/>
        </w:rPr>
        <w:t>附 录 1</w:t>
      </w:r>
      <w:bookmarkEnd w:id="73"/>
    </w:p>
    <w:p>
      <w:pPr>
        <w:pStyle w:val="33"/>
        <w:spacing w:before="0" w:after="120"/>
        <w:rPr>
          <w:rFonts w:hAnsi="黑体" w:cs="黑体"/>
          <w:sz w:val="24"/>
          <w:szCs w:val="24"/>
        </w:rPr>
      </w:pPr>
      <w:bookmarkStart w:id="74" w:name="_Toc230724091"/>
      <w:r>
        <w:rPr>
          <w:rFonts w:hint="eastAsia" w:hAnsi="黑体" w:cs="黑体"/>
          <w:sz w:val="24"/>
          <w:szCs w:val="24"/>
        </w:rPr>
        <w:t>资料性附录</w:t>
      </w:r>
      <w:bookmarkEnd w:id="74"/>
    </w:p>
    <w:p>
      <w:pPr>
        <w:jc w:val="center"/>
        <w:rPr>
          <w:rFonts w:ascii="黑体" w:hAnsi="黑体" w:eastAsia="黑体" w:cs="黑体"/>
          <w:sz w:val="24"/>
          <w:szCs w:val="24"/>
        </w:rPr>
      </w:pPr>
      <w:r>
        <w:rPr>
          <w:rFonts w:hint="eastAsia" w:ascii="黑体" w:hAnsi="黑体" w:eastAsia="黑体" w:cs="黑体"/>
          <w:sz w:val="24"/>
          <w:szCs w:val="24"/>
        </w:rPr>
        <w:t>急救流程</w:t>
      </w:r>
    </w:p>
    <w:p>
      <w:pPr>
        <w:pStyle w:val="32"/>
      </w:pPr>
      <w:bookmarkStart w:id="75" w:name="_Toc509933873"/>
      <w:bookmarkStart w:id="76" w:name="_Toc510534552"/>
      <w:r>
        <w:drawing>
          <wp:inline distT="0" distB="0" distL="114300" distR="114300">
            <wp:extent cx="3085465" cy="5690870"/>
            <wp:effectExtent l="0" t="0" r="11430" b="635"/>
            <wp:docPr id="2" name="图片 2" descr="936634e985d5f570d65a99cd2e9b69b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936634e985d5f570d65a99cd2e9b69b0"/>
                    <pic:cNvPicPr>
                      <a:picLocks noChangeAspect="1"/>
                    </pic:cNvPicPr>
                  </pic:nvPicPr>
                  <pic:blipFill>
                    <a:blip r:embed="rId14"/>
                    <a:stretch>
                      <a:fillRect/>
                    </a:stretch>
                  </pic:blipFill>
                  <pic:spPr>
                    <a:xfrm rot="16200000">
                      <a:off x="0" y="0"/>
                      <a:ext cx="3085465" cy="5690870"/>
                    </a:xfrm>
                    <a:prstGeom prst="rect">
                      <a:avLst/>
                    </a:prstGeom>
                  </pic:spPr>
                </pic:pic>
              </a:graphicData>
            </a:graphic>
          </wp:inline>
        </w:drawing>
      </w:r>
    </w:p>
    <w:p>
      <w:pPr>
        <w:pStyle w:val="6"/>
        <w:jc w:val="center"/>
        <w:rPr>
          <w:rFonts w:asciiTheme="minorEastAsia" w:hAnsiTheme="minorEastAsia" w:cstheme="minorEastAsia"/>
          <w:i w:val="0"/>
          <w:iCs w:val="0"/>
          <w:color w:val="auto"/>
          <w:kern w:val="0"/>
          <w:sz w:val="24"/>
          <w:szCs w:val="24"/>
        </w:rPr>
      </w:pPr>
      <w:bookmarkStart w:id="77" w:name="_Ref215081015"/>
      <w:r>
        <w:rPr>
          <w:rFonts w:hint="eastAsia" w:asciiTheme="minorEastAsia" w:hAnsiTheme="minorEastAsia" w:cstheme="minorEastAsia"/>
          <w:i w:val="0"/>
          <w:iCs w:val="0"/>
          <w:color w:val="auto"/>
          <w:sz w:val="24"/>
          <w:szCs w:val="24"/>
        </w:rPr>
        <w:t>图 A.1  急救流程图</w:t>
      </w:r>
      <w:bookmarkEnd w:id="77"/>
    </w:p>
    <w:p>
      <w:pPr>
        <w:pStyle w:val="33"/>
        <w:spacing w:before="0" w:after="120"/>
        <w:rPr>
          <w:b/>
          <w:bCs/>
        </w:rPr>
      </w:pPr>
    </w:p>
    <w:p>
      <w:pPr>
        <w:pStyle w:val="33"/>
        <w:spacing w:before="0" w:after="120"/>
        <w:rPr>
          <w:b/>
          <w:bCs/>
        </w:rPr>
      </w:pPr>
    </w:p>
    <w:p>
      <w:pPr>
        <w:pStyle w:val="33"/>
        <w:spacing w:before="0" w:after="120"/>
        <w:rPr>
          <w:b/>
          <w:bCs/>
        </w:rPr>
      </w:pPr>
    </w:p>
    <w:p>
      <w:pPr>
        <w:pStyle w:val="33"/>
        <w:spacing w:before="0" w:after="120"/>
        <w:rPr>
          <w:b/>
          <w:bCs/>
        </w:rPr>
      </w:pPr>
    </w:p>
    <w:p>
      <w:pPr>
        <w:pStyle w:val="33"/>
        <w:spacing w:before="0" w:after="120"/>
        <w:rPr>
          <w:b/>
          <w:bCs/>
        </w:rPr>
      </w:pPr>
    </w:p>
    <w:p>
      <w:pPr>
        <w:pStyle w:val="33"/>
        <w:spacing w:before="0" w:after="120"/>
        <w:rPr>
          <w:b/>
          <w:bCs/>
        </w:rPr>
      </w:pPr>
    </w:p>
    <w:p>
      <w:pPr>
        <w:pStyle w:val="33"/>
        <w:spacing w:before="0" w:after="120"/>
        <w:rPr>
          <w:b/>
          <w:bCs/>
        </w:rPr>
      </w:pPr>
    </w:p>
    <w:p>
      <w:pPr>
        <w:pStyle w:val="33"/>
        <w:spacing w:before="0" w:after="120"/>
        <w:rPr>
          <w:b/>
          <w:bCs/>
        </w:rPr>
      </w:pPr>
    </w:p>
    <w:p>
      <w:pPr>
        <w:pStyle w:val="33"/>
        <w:spacing w:before="0" w:after="120"/>
        <w:rPr>
          <w:b/>
          <w:bCs/>
        </w:rPr>
      </w:pPr>
    </w:p>
    <w:p>
      <w:pPr>
        <w:pStyle w:val="33"/>
        <w:spacing w:before="0" w:after="120"/>
        <w:rPr>
          <w:b/>
          <w:bCs/>
        </w:rPr>
      </w:pPr>
    </w:p>
    <w:p>
      <w:pPr>
        <w:pStyle w:val="33"/>
        <w:spacing w:before="0" w:after="120"/>
      </w:pPr>
      <w:bookmarkStart w:id="78" w:name="_Toc230724092"/>
      <w:r>
        <w:rPr>
          <w:rFonts w:hint="eastAsia"/>
        </w:rPr>
        <w:t>参 考 文 献</w:t>
      </w:r>
      <w:bookmarkEnd w:id="75"/>
      <w:bookmarkEnd w:id="76"/>
      <w:bookmarkEnd w:id="78"/>
    </w:p>
    <w:p>
      <w:pPr>
        <w:pStyle w:val="37"/>
        <w:widowControl/>
        <w:numPr>
          <w:ilvl w:val="0"/>
          <w:numId w:val="16"/>
        </w:numPr>
        <w:spacing w:line="360" w:lineRule="exact"/>
        <w:ind w:firstLineChars="0"/>
        <w:jc w:val="left"/>
        <w:rPr>
          <w:rFonts w:ascii="宋体" w:hAnsi="宋体" w:eastAsia="宋体" w:cs="宋体"/>
          <w:color w:val="000000"/>
          <w:kern w:val="0"/>
          <w:szCs w:val="21"/>
          <w:lang w:bidi="ar"/>
        </w:rPr>
      </w:pPr>
      <w:bookmarkStart w:id="79" w:name="_Ref220312689"/>
      <w:r>
        <w:rPr>
          <w:rFonts w:hint="eastAsia" w:ascii="宋体" w:hAnsi="宋体" w:eastAsia="宋体" w:cs="宋体"/>
          <w:color w:val="000000"/>
          <w:kern w:val="0"/>
          <w:szCs w:val="21"/>
          <w:lang w:bidi="ar"/>
        </w:rPr>
        <w:t>庄伟，吴永健，刘玉清等.冠状动脉介入诊疗手术中碘造影剂过敏性休克发生特点及抢救经验[J].中国循环杂志2013，28：262-265.</w:t>
      </w:r>
      <w:bookmarkEnd w:id="79"/>
    </w:p>
    <w:p>
      <w:pPr>
        <w:pStyle w:val="37"/>
        <w:widowControl/>
        <w:numPr>
          <w:ilvl w:val="0"/>
          <w:numId w:val="16"/>
        </w:numPr>
        <w:spacing w:line="360" w:lineRule="exact"/>
        <w:ind w:firstLineChars="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中华医学会放射学分会,中国医师协会放射医师分会.对比剂使用指南(第1版)[J].中华放射学杂志2008，42：320-325</w:t>
      </w:r>
    </w:p>
    <w:p>
      <w:pPr>
        <w:pStyle w:val="37"/>
        <w:widowControl/>
        <w:numPr>
          <w:ilvl w:val="0"/>
          <w:numId w:val="16"/>
        </w:numPr>
        <w:spacing w:line="360" w:lineRule="exact"/>
        <w:ind w:firstLineChars="0"/>
        <w:jc w:val="left"/>
        <w:rPr>
          <w:rFonts w:ascii="宋体" w:hAnsi="宋体" w:eastAsia="宋体" w:cs="宋体"/>
          <w:color w:val="000000"/>
          <w:kern w:val="0"/>
          <w:szCs w:val="21"/>
          <w:lang w:bidi="ar"/>
        </w:rPr>
      </w:pPr>
      <w:bookmarkStart w:id="80" w:name="_Ref220312692"/>
      <w:r>
        <w:rPr>
          <w:rFonts w:hint="eastAsia" w:ascii="宋体" w:hAnsi="宋体" w:eastAsia="宋体" w:cs="宋体"/>
          <w:color w:val="000000"/>
          <w:kern w:val="0"/>
          <w:szCs w:val="21"/>
          <w:lang w:bidi="ar"/>
        </w:rPr>
        <w:t>中华医学会放射学分会对比剂安全使用工作组. 对比剂使用指南(第2版)[J]. 中华医学杂志2014,93(43):3363-9.</w:t>
      </w:r>
      <w:bookmarkEnd w:id="80"/>
    </w:p>
    <w:p>
      <w:pPr>
        <w:pStyle w:val="37"/>
        <w:widowControl/>
        <w:numPr>
          <w:ilvl w:val="0"/>
          <w:numId w:val="16"/>
        </w:numPr>
        <w:spacing w:line="360" w:lineRule="exact"/>
        <w:ind w:firstLineChars="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中华医学会放射学分析放射护理专业委员会放射诊断护理学组．影像科碘对比剂输注安全专家共识[J]．介入放射学杂志,2018，27(8)：707—712.</w:t>
      </w:r>
    </w:p>
    <w:p>
      <w:pPr>
        <w:pStyle w:val="37"/>
        <w:widowControl/>
        <w:numPr>
          <w:ilvl w:val="0"/>
          <w:numId w:val="16"/>
        </w:numPr>
        <w:spacing w:line="360" w:lineRule="exact"/>
        <w:ind w:firstLineChars="0"/>
        <w:jc w:val="left"/>
        <w:rPr>
          <w:rFonts w:ascii="宋体" w:hAnsi="宋体" w:eastAsia="宋体" w:cs="宋体"/>
          <w:color w:val="000000"/>
          <w:kern w:val="0"/>
          <w:szCs w:val="21"/>
          <w:lang w:bidi="ar"/>
        </w:rPr>
      </w:pPr>
      <w:bookmarkStart w:id="81" w:name="_Ref220312724"/>
      <w:r>
        <w:rPr>
          <w:rFonts w:hint="eastAsia" w:ascii="宋体" w:hAnsi="宋体" w:eastAsia="宋体" w:cs="宋体"/>
          <w:color w:val="000000"/>
          <w:kern w:val="0"/>
          <w:szCs w:val="21"/>
          <w:lang w:bidi="ar"/>
        </w:rPr>
        <w:t>海峡两岸医药卫生交流协会护理分会心血管护技专业学组.心血管介入碘对比剂使用管理护理专家共识[J].中国循环杂志2021,(36):623-633.</w:t>
      </w:r>
      <w:bookmarkEnd w:id="81"/>
    </w:p>
    <w:p>
      <w:pPr>
        <w:pStyle w:val="37"/>
        <w:widowControl/>
        <w:numPr>
          <w:ilvl w:val="0"/>
          <w:numId w:val="16"/>
        </w:numPr>
        <w:spacing w:line="360" w:lineRule="exact"/>
        <w:ind w:firstLineChars="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中华医学会心血管病学分会介入心脏病学组,中华医学会心血管病学分会大血管病学组,中华心血管病杂志编辑委员会,韩雅玲,杨跃进,曾和松,王效增,李毅,王斌,刘海伟,徐凯,裘淼涵.经动脉心血管介入诊治中含碘对比剂相关不良反应防治的中国专家共识(2021)[J].中华心血管病杂志,2021,49(10):972-985</w:t>
      </w:r>
    </w:p>
    <w:p>
      <w:pPr>
        <w:pStyle w:val="37"/>
        <w:widowControl/>
        <w:numPr>
          <w:ilvl w:val="0"/>
          <w:numId w:val="16"/>
        </w:numPr>
        <w:spacing w:line="360" w:lineRule="exact"/>
        <w:ind w:firstLineChars="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海峡两岸医药卫生交流协会护理分会心血管护技专业学组,刘焱,武杰,杨金超.心血管介入碘对比剂使用管理护理专家共识[J].中国循环杂志,2021,36(7):625-63</w:t>
      </w:r>
    </w:p>
    <w:p>
      <w:pPr>
        <w:pStyle w:val="37"/>
        <w:widowControl/>
        <w:numPr>
          <w:ilvl w:val="0"/>
          <w:numId w:val="16"/>
        </w:numPr>
        <w:spacing w:line="360" w:lineRule="exact"/>
        <w:ind w:firstLineChars="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中华医学会放射学分会对比剂安全使用工作组.碘对比剂使用指南(第2 版)[J].中华医学杂志,2014,94(43):3363-3369. DOI:10.3760/cma.j.issn. 0376-2491.2014. 43.003.</w:t>
      </w:r>
    </w:p>
    <w:p>
      <w:pPr>
        <w:pStyle w:val="37"/>
        <w:widowControl/>
        <w:numPr>
          <w:ilvl w:val="0"/>
          <w:numId w:val="16"/>
        </w:numPr>
        <w:spacing w:line="360" w:lineRule="exact"/>
        <w:ind w:firstLineChars="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中华医学会心血管病学分会,中华心血管病杂志编辑委员会.含碘对比剂在心血管疾病中临床应用的专家共识(2012)[J].中华心血管病杂志,2013,41(2):94-98. DOI:10.3760/cma.j.issn.0253-3758. 2013.02.003.</w:t>
      </w:r>
    </w:p>
    <w:p>
      <w:pPr>
        <w:pStyle w:val="37"/>
        <w:widowControl/>
        <w:numPr>
          <w:ilvl w:val="0"/>
          <w:numId w:val="16"/>
        </w:numPr>
        <w:spacing w:line="360" w:lineRule="exact"/>
        <w:ind w:firstLineChars="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 xml:space="preserve">陈韵岱,陈纪言,傅国胜,等.碘对比剂血管造影应用相关不良反应中国专家共识[J].中国介入心脏病学杂志,2014,22(6):341-348.DOI:10.3969/j.issn. 1004-8812. 2014.06.001. </w:t>
      </w:r>
    </w:p>
    <w:p>
      <w:pPr>
        <w:pStyle w:val="37"/>
        <w:widowControl/>
        <w:numPr>
          <w:ilvl w:val="0"/>
          <w:numId w:val="16"/>
        </w:numPr>
        <w:spacing w:line="360" w:lineRule="exact"/>
        <w:ind w:firstLineChars="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李雪,郑淑梅,屈梅香.影像科碘对比剂输注安全专家共识[J].介入放射学杂志, 2018,27(8):7-12.</w:t>
      </w:r>
    </w:p>
    <w:p>
      <w:pPr>
        <w:pStyle w:val="37"/>
        <w:widowControl/>
        <w:numPr>
          <w:ilvl w:val="0"/>
          <w:numId w:val="16"/>
        </w:numPr>
        <w:spacing w:line="360" w:lineRule="exact"/>
        <w:ind w:firstLineChars="0"/>
        <w:jc w:val="left"/>
        <w:rPr>
          <w:rFonts w:ascii="宋体" w:hAnsi="宋体" w:eastAsia="宋体" w:cs="宋体"/>
          <w:color w:val="000000"/>
          <w:kern w:val="0"/>
          <w:szCs w:val="21"/>
          <w:lang w:bidi="ar"/>
        </w:rPr>
      </w:pPr>
      <w:r>
        <w:rPr>
          <w:rFonts w:hint="eastAsia" w:ascii="宋体" w:hAnsi="宋体" w:eastAsia="宋体" w:cs="宋体"/>
          <w:color w:val="000000"/>
          <w:kern w:val="0"/>
          <w:szCs w:val="21"/>
          <w:lang w:bidi="ar"/>
        </w:rPr>
        <w:t>冠心病介入诊疗对比剂应用专家共识组.冠心病介入诊疗对比剂应用专家共识[J].中国心血管病研究,2010,8(12):881-889. DOI:10.3969/j.issn. 1672-5301. 2010. 12.001.</w:t>
      </w:r>
    </w:p>
    <w:p>
      <w:pPr>
        <w:pStyle w:val="37"/>
        <w:widowControl/>
        <w:numPr>
          <w:ilvl w:val="0"/>
          <w:numId w:val="16"/>
        </w:numPr>
        <w:spacing w:line="360" w:lineRule="exact"/>
        <w:ind w:firstLineChars="0"/>
        <w:jc w:val="left"/>
        <w:rPr>
          <w:rFonts w:ascii="宋体" w:hAnsi="宋体" w:eastAsia="宋体" w:cs="宋体"/>
          <w:color w:val="000000"/>
          <w:kern w:val="0"/>
          <w:szCs w:val="21"/>
          <w:lang w:bidi="ar"/>
        </w:rPr>
      </w:pPr>
      <w:bookmarkStart w:id="82" w:name="_Ref216893453"/>
      <w:r>
        <w:rPr>
          <w:rFonts w:hint="eastAsia" w:ascii="宋体" w:hAnsi="宋体" w:eastAsia="宋体" w:cs="宋体"/>
          <w:color w:val="000000"/>
          <w:kern w:val="0"/>
          <w:szCs w:val="21"/>
          <w:lang w:bidi="ar"/>
        </w:rPr>
        <w:t>ACR Manual on Contrast Media 2025.</w:t>
      </w:r>
      <w:bookmarkEnd w:id="82"/>
    </w:p>
    <w:p>
      <w:pPr>
        <w:pStyle w:val="37"/>
        <w:widowControl/>
        <w:numPr>
          <w:ilvl w:val="0"/>
          <w:numId w:val="16"/>
        </w:numPr>
        <w:spacing w:line="360" w:lineRule="exact"/>
        <w:ind w:firstLineChars="0"/>
        <w:jc w:val="left"/>
        <w:rPr>
          <w:rFonts w:ascii="宋体" w:hAnsi="宋体" w:eastAsia="宋体" w:cs="宋体"/>
          <w:color w:val="000000"/>
          <w:kern w:val="0"/>
          <w:szCs w:val="21"/>
          <w:lang w:bidi="ar"/>
        </w:rPr>
      </w:pPr>
      <w:bookmarkStart w:id="83" w:name="_Ref219988311"/>
      <w:r>
        <w:rPr>
          <w:rFonts w:hint="eastAsia" w:ascii="宋体" w:hAnsi="宋体" w:eastAsia="宋体" w:cs="宋体"/>
          <w:color w:val="000000"/>
          <w:kern w:val="0"/>
          <w:szCs w:val="21"/>
          <w:lang w:bidi="ar"/>
        </w:rPr>
        <w:t>European Society of Urogenital Radiology. Contrast Media Safety Committee Guidelines 2025.</w:t>
      </w:r>
      <w:bookmarkEnd w:id="83"/>
    </w:p>
    <w:p>
      <w:pPr>
        <w:pStyle w:val="37"/>
        <w:widowControl/>
        <w:numPr>
          <w:ilvl w:val="0"/>
          <w:numId w:val="16"/>
        </w:numPr>
        <w:spacing w:line="360" w:lineRule="exact"/>
        <w:ind w:firstLineChars="0"/>
        <w:jc w:val="left"/>
        <w:rPr>
          <w:rFonts w:ascii="宋体" w:hAnsi="宋体" w:eastAsia="宋体" w:cs="宋体"/>
          <w:color w:val="000000"/>
          <w:kern w:val="0"/>
          <w:szCs w:val="21"/>
          <w:lang w:bidi="ar"/>
        </w:rPr>
      </w:pPr>
      <w:bookmarkStart w:id="84" w:name="_Ref220090100"/>
      <w:r>
        <w:rPr>
          <w:rFonts w:hint="eastAsia" w:ascii="宋体" w:hAnsi="宋体" w:eastAsia="宋体" w:cs="宋体"/>
          <w:color w:val="000000"/>
          <w:kern w:val="0"/>
          <w:szCs w:val="21"/>
          <w:lang w:bidi="ar"/>
        </w:rPr>
        <w:t>中华人民共和国国家卫生健康委员会脑卒中防治工程委员会,中国医师协会介入医师分会神经介入专业委员会,中国医师协会神经外科医师分会神经介入专业委员会[J].中华医学杂志,2020,100(41):3207-3217.</w:t>
      </w:r>
      <w:bookmarkEnd w:id="84"/>
    </w:p>
    <w:p>
      <w:pPr>
        <w:pStyle w:val="37"/>
        <w:widowControl/>
        <w:numPr>
          <w:ilvl w:val="255"/>
          <w:numId w:val="0"/>
        </w:numPr>
        <w:spacing w:line="360" w:lineRule="exact"/>
        <w:ind w:left="360" w:firstLine="600" w:firstLineChars="200"/>
        <w:jc w:val="left"/>
        <w:rPr>
          <w:rFonts w:ascii="仿宋" w:hAnsi="仿宋" w:eastAsia="仿宋"/>
          <w:sz w:val="30"/>
          <w:szCs w:val="30"/>
        </w:rPr>
      </w:pPr>
      <w:r>
        <w:rPr>
          <w:sz w:val="30"/>
        </w:rPr>
        <mc:AlternateContent>
          <mc:Choice Requires="wps">
            <w:drawing>
              <wp:anchor distT="0" distB="0" distL="114300" distR="114300" simplePos="0" relativeHeight="251660288" behindDoc="0" locked="0" layoutInCell="1" allowOverlap="1">
                <wp:simplePos x="0" y="0"/>
                <wp:positionH relativeFrom="column">
                  <wp:posOffset>823595</wp:posOffset>
                </wp:positionH>
                <wp:positionV relativeFrom="paragraph">
                  <wp:posOffset>728980</wp:posOffset>
                </wp:positionV>
                <wp:extent cx="3130550" cy="8890"/>
                <wp:effectExtent l="0" t="4445" r="6350" b="5715"/>
                <wp:wrapNone/>
                <wp:docPr id="1" name="直接连接符 1"/>
                <wp:cNvGraphicFramePr/>
                <a:graphic xmlns:a="http://schemas.openxmlformats.org/drawingml/2006/main">
                  <a:graphicData uri="http://schemas.microsoft.com/office/word/2010/wordprocessingShape">
                    <wps:wsp>
                      <wps:cNvCnPr/>
                      <wps:spPr>
                        <a:xfrm>
                          <a:off x="1964690" y="1643380"/>
                          <a:ext cx="3130550" cy="889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64.85pt;margin-top:57.4pt;height:0.7pt;width:246.5pt;z-index:251660288;mso-width-relative:page;mso-height-relative:page;" filled="f" stroked="t" coordsize="21600,21600" o:gfxdata="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">
                <v:fill on="f" focussize="0,0"/>
                <v:stroke color="#000000 [3200]" joinstyle="round"/>
                <v:imagedata o:title=""/>
                <o:lock v:ext="edit" aspectratio="f"/>
              </v:line>
            </w:pict>
          </mc:Fallback>
        </mc:AlternateContent>
      </w:r>
    </w:p>
    <w:sectPr>
      <w:footerReference r:id="rId11" w:type="default"/>
      <w:pgSz w:w="11906" w:h="16838"/>
      <w:pgMar w:top="1440" w:right="1797" w:bottom="1440" w:left="1797" w:header="851" w:footer="992" w:gutter="0"/>
      <w:pgNumType w:start="1"/>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FangSong_GB2312">
    <w:altName w:val="仿宋"/>
    <w:panose1 w:val="020B0604020202020204"/>
    <w:charset w:val="86"/>
    <w:family w:val="modern"/>
    <w:pitch w:val="default"/>
    <w:sig w:usb0="00000000" w:usb1="00000000" w:usb2="00000016" w:usb3="00000000" w:csb0="00040001"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20B0604020202020204"/>
    <w:charset w:val="86"/>
    <w:family w:val="swiss"/>
    <w:pitch w:val="default"/>
    <w:sig w:usb0="00000000" w:usb1="00000000" w:usb2="00000000" w:usb3="00000000" w:csb0="00040000" w:csb1="00000000"/>
  </w:font>
  <w:font w:name="Arial">
    <w:panose1 w:val="020B0604020202020204"/>
    <w:charset w:val="00"/>
    <w:family w:val="swiss"/>
    <w:pitch w:val="default"/>
    <w:sig w:usb0="E0002EFF" w:usb1="C000785B" w:usb2="00000009" w:usb3="00000000" w:csb0="400001FF" w:csb1="FFFF0000"/>
  </w:font>
  <w:font w:name="Cambria Math">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uXNVEPAgAABwQAAA4AAABkcnMvZTJvRG9jLnhtbK1TzY7TMBC+I/EO&#10;lu80aStW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TF/n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MuXNVEPAgAABwQAAA4AAAAAAAAAAQAgAAAA&#10;HwEAAGRycy9lMm9Eb2MueG1sUEsFBgAAAAAGAAYAWQEAAKAFAAAAAA==&#10;">
              <v:fill on="f" focussize="0,0"/>
              <v:stroke on="f" weight="0.5pt"/>
              <v:imagedata o:title=""/>
              <o:lock v:ext="edit" aspectratio="f"/>
              <v:textbox inset="0mm,0mm,0mm,0mm" style="mso-fit-shape-to-text:t;">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2</w:t>
                    </w:r>
                    <w:r>
                      <w:rPr>
                        <w:rFonts w:hint="eastAsia"/>
                      </w:rP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Nn6MNYPAgAABwQAAA4AAAAAAAAAAQAgAAAA&#10;HwEAAGRycy9lMm9Eb2MueG1sUEsFBgAAAAAGAAYAWQEAAKAFAAAAAA==&#10;">
              <v:fill on="f" focussize="0,0"/>
              <v:stroke on="f" weight="0.5pt"/>
              <v:imagedata o:title=""/>
              <o:lock v:ext="edit" aspectratio="f"/>
              <v:textbox inset="0mm,0mm,0mm,0mm" style="mso-fit-shape-to-text:t;">
                <w:txbxContent>
                  <w:p>
                    <w:pPr>
                      <w:pStyle w:val="10"/>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tabs>
        <w:tab w:val="left" w:pos="11270"/>
      </w:tabs>
      <w:wordWrap w:val="0"/>
      <w:jc w:val="both"/>
      <w:rPr>
        <w:rFonts w:ascii="黑体" w:hAnsi="黑体" w:eastAsia="黑体"/>
        <w:sz w:val="21"/>
        <w:szCs w:val="21"/>
      </w:rPr>
    </w:pPr>
    <w:r>
      <w:rPr>
        <w:rFonts w:ascii="黑体" w:hAnsi="黑体" w:eastAsia="黑体"/>
        <w:sz w:val="21"/>
        <w:szCs w:val="21"/>
      </w:rPr>
      <w:tab/>
    </w:r>
    <w:r>
      <w:rPr>
        <w:rFonts w:ascii="黑体" w:hAnsi="黑体" w:eastAsia="黑体"/>
        <w:sz w:val="21"/>
        <w:szCs w:val="21"/>
      </w:rPr>
      <w:tab/>
    </w:r>
    <w:r>
      <w:rPr>
        <w:rFonts w:ascii="黑体" w:hAnsi="黑体" w:eastAsia="黑体"/>
        <w:sz w:val="21"/>
        <w:szCs w:val="21"/>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11C7E"/>
    <w:multiLevelType w:val="multilevel"/>
    <w:tmpl w:val="00711C7E"/>
    <w:lvl w:ilvl="0" w:tentative="0">
      <w:start w:val="1"/>
      <w:numFmt w:val="lowerLetter"/>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
    <w:nsid w:val="08777B28"/>
    <w:multiLevelType w:val="multilevel"/>
    <w:tmpl w:val="08777B28"/>
    <w:lvl w:ilvl="0" w:tentative="0">
      <w:start w:val="1"/>
      <w:numFmt w:val="lowerLetter"/>
      <w:lvlText w:val="%1)"/>
      <w:lvlJc w:val="left"/>
      <w:pPr>
        <w:ind w:left="440" w:hanging="440"/>
      </w:pPr>
    </w:lvl>
    <w:lvl w:ilvl="1" w:tentative="0">
      <w:start w:val="1"/>
      <w:numFmt w:val="lowerLetter"/>
      <w:lvlText w:val="%2)"/>
      <w:lvlJc w:val="left"/>
      <w:pPr>
        <w:ind w:left="720" w:hanging="360"/>
      </w:pPr>
    </w:lvl>
    <w:lvl w:ilvl="2" w:tentative="0">
      <w:start w:val="1"/>
      <w:numFmt w:val="lowerRoman"/>
      <w:lvlText w:val="%3)"/>
      <w:lvlJc w:val="left"/>
      <w:pPr>
        <w:ind w:left="1080" w:hanging="360"/>
      </w:pPr>
    </w:lvl>
    <w:lvl w:ilvl="3" w:tentative="0">
      <w:start w:val="1"/>
      <w:numFmt w:val="decimal"/>
      <w:lvlText w:val="(%4)"/>
      <w:lvlJc w:val="left"/>
      <w:pPr>
        <w:ind w:left="1440" w:hanging="360"/>
      </w:pPr>
    </w:lvl>
    <w:lvl w:ilvl="4" w:tentative="0">
      <w:start w:val="1"/>
      <w:numFmt w:val="lowerLetter"/>
      <w:lvlText w:val="(%5)"/>
      <w:lvlJc w:val="left"/>
      <w:pPr>
        <w:ind w:left="1800" w:hanging="360"/>
      </w:pPr>
    </w:lvl>
    <w:lvl w:ilvl="5" w:tentative="0">
      <w:start w:val="1"/>
      <w:numFmt w:val="lowerRoman"/>
      <w:lvlText w:val="(%6)"/>
      <w:lvlJc w:val="left"/>
      <w:pPr>
        <w:ind w:left="2160" w:hanging="360"/>
      </w:p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2">
    <w:nsid w:val="0A255A43"/>
    <w:multiLevelType w:val="multilevel"/>
    <w:tmpl w:val="0A255A43"/>
    <w:lvl w:ilvl="0" w:tentative="0">
      <w:start w:val="1"/>
      <w:numFmt w:val="lowerLetter"/>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3">
    <w:nsid w:val="0D8A2022"/>
    <w:multiLevelType w:val="multilevel"/>
    <w:tmpl w:val="0D8A2022"/>
    <w:lvl w:ilvl="0" w:tentative="0">
      <w:start w:val="1"/>
      <w:numFmt w:val="lowerLetter"/>
      <w:lvlText w:val="%1)"/>
      <w:lvlJc w:val="left"/>
      <w:pPr>
        <w:ind w:left="799" w:hanging="440"/>
      </w:p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18F07118"/>
    <w:multiLevelType w:val="multilevel"/>
    <w:tmpl w:val="18F07118"/>
    <w:lvl w:ilvl="0" w:tentative="0">
      <w:start w:val="1"/>
      <w:numFmt w:val="lowerLetter"/>
      <w:lvlText w:val="%1)"/>
      <w:lvlJc w:val="left"/>
      <w:pPr>
        <w:ind w:left="440" w:hanging="440"/>
      </w:pPr>
    </w:lvl>
    <w:lvl w:ilvl="1" w:tentative="0">
      <w:start w:val="1"/>
      <w:numFmt w:val="lowerLetter"/>
      <w:lvlText w:val="%2)"/>
      <w:lvlJc w:val="left"/>
      <w:pPr>
        <w:ind w:left="720" w:hanging="360"/>
      </w:pPr>
    </w:lvl>
    <w:lvl w:ilvl="2" w:tentative="0">
      <w:start w:val="1"/>
      <w:numFmt w:val="lowerRoman"/>
      <w:lvlText w:val="%3)"/>
      <w:lvlJc w:val="left"/>
      <w:pPr>
        <w:ind w:left="1080" w:hanging="360"/>
      </w:pPr>
    </w:lvl>
    <w:lvl w:ilvl="3" w:tentative="0">
      <w:start w:val="1"/>
      <w:numFmt w:val="decimal"/>
      <w:lvlText w:val="(%4)"/>
      <w:lvlJc w:val="left"/>
      <w:pPr>
        <w:ind w:left="1440" w:hanging="360"/>
      </w:pPr>
    </w:lvl>
    <w:lvl w:ilvl="4" w:tentative="0">
      <w:start w:val="1"/>
      <w:numFmt w:val="lowerLetter"/>
      <w:lvlText w:val="(%5)"/>
      <w:lvlJc w:val="left"/>
      <w:pPr>
        <w:ind w:left="1800" w:hanging="360"/>
      </w:pPr>
    </w:lvl>
    <w:lvl w:ilvl="5" w:tentative="0">
      <w:start w:val="1"/>
      <w:numFmt w:val="lowerRoman"/>
      <w:lvlText w:val="(%6)"/>
      <w:lvlJc w:val="left"/>
      <w:pPr>
        <w:ind w:left="2160" w:hanging="360"/>
      </w:p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5">
    <w:nsid w:val="1FC91163"/>
    <w:multiLevelType w:val="multilevel"/>
    <w:tmpl w:val="1FC91163"/>
    <w:lvl w:ilvl="0" w:tentative="0">
      <w:start w:val="1"/>
      <w:numFmt w:val="decimal"/>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284" w:firstLine="0"/>
      </w:pPr>
      <w:rPr>
        <w:rFonts w:hint="eastAsia" w:ascii="黑体" w:hAnsi="Times New Roman" w:eastAsia="黑体"/>
        <w:b w:val="0"/>
        <w:i w:val="0"/>
        <w:sz w:val="21"/>
      </w:rPr>
    </w:lvl>
    <w:lvl w:ilvl="3" w:tentative="0">
      <w:start w:val="1"/>
      <w:numFmt w:val="decimal"/>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6">
    <w:nsid w:val="20285199"/>
    <w:multiLevelType w:val="multilevel"/>
    <w:tmpl w:val="20285199"/>
    <w:lvl w:ilvl="0" w:tentative="0">
      <w:start w:val="1"/>
      <w:numFmt w:val="lowerLetter"/>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7">
    <w:nsid w:val="20EA79F7"/>
    <w:multiLevelType w:val="multilevel"/>
    <w:tmpl w:val="20EA79F7"/>
    <w:lvl w:ilvl="0" w:tentative="0">
      <w:start w:val="1"/>
      <w:numFmt w:val="lowerLetter"/>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8">
    <w:nsid w:val="250B4F38"/>
    <w:multiLevelType w:val="multilevel"/>
    <w:tmpl w:val="250B4F38"/>
    <w:lvl w:ilvl="0" w:tentative="0">
      <w:start w:val="1"/>
      <w:numFmt w:val="lowerLetter"/>
      <w:lvlText w:val="%1)"/>
      <w:lvlJc w:val="left"/>
      <w:pPr>
        <w:ind w:left="799" w:hanging="440"/>
      </w:pPr>
    </w:lvl>
    <w:lvl w:ilvl="1" w:tentative="0">
      <w:start w:val="1"/>
      <w:numFmt w:val="lowerLetter"/>
      <w:lvlText w:val="%2)"/>
      <w:lvlJc w:val="left"/>
      <w:pPr>
        <w:ind w:left="1239" w:hanging="440"/>
      </w:pPr>
    </w:lvl>
    <w:lvl w:ilvl="2" w:tentative="0">
      <w:start w:val="1"/>
      <w:numFmt w:val="lowerRoman"/>
      <w:lvlText w:val="%3."/>
      <w:lvlJc w:val="right"/>
      <w:pPr>
        <w:ind w:left="1679" w:hanging="440"/>
      </w:pPr>
    </w:lvl>
    <w:lvl w:ilvl="3" w:tentative="0">
      <w:start w:val="1"/>
      <w:numFmt w:val="decimal"/>
      <w:lvlText w:val="%4."/>
      <w:lvlJc w:val="left"/>
      <w:pPr>
        <w:ind w:left="2119" w:hanging="440"/>
      </w:pPr>
    </w:lvl>
    <w:lvl w:ilvl="4" w:tentative="0">
      <w:start w:val="1"/>
      <w:numFmt w:val="lowerLetter"/>
      <w:lvlText w:val="%5)"/>
      <w:lvlJc w:val="left"/>
      <w:pPr>
        <w:ind w:left="2559" w:hanging="440"/>
      </w:pPr>
    </w:lvl>
    <w:lvl w:ilvl="5" w:tentative="0">
      <w:start w:val="1"/>
      <w:numFmt w:val="lowerRoman"/>
      <w:lvlText w:val="%6."/>
      <w:lvlJc w:val="right"/>
      <w:pPr>
        <w:ind w:left="2999" w:hanging="440"/>
      </w:pPr>
    </w:lvl>
    <w:lvl w:ilvl="6" w:tentative="0">
      <w:start w:val="1"/>
      <w:numFmt w:val="decimal"/>
      <w:lvlText w:val="%7."/>
      <w:lvlJc w:val="left"/>
      <w:pPr>
        <w:ind w:left="3439" w:hanging="440"/>
      </w:pPr>
    </w:lvl>
    <w:lvl w:ilvl="7" w:tentative="0">
      <w:start w:val="1"/>
      <w:numFmt w:val="lowerLetter"/>
      <w:lvlText w:val="%8)"/>
      <w:lvlJc w:val="left"/>
      <w:pPr>
        <w:ind w:left="3879" w:hanging="440"/>
      </w:pPr>
    </w:lvl>
    <w:lvl w:ilvl="8" w:tentative="0">
      <w:start w:val="1"/>
      <w:numFmt w:val="lowerRoman"/>
      <w:lvlText w:val="%9."/>
      <w:lvlJc w:val="right"/>
      <w:pPr>
        <w:ind w:left="4319" w:hanging="440"/>
      </w:pPr>
    </w:lvl>
  </w:abstractNum>
  <w:abstractNum w:abstractNumId="9">
    <w:nsid w:val="2A400F9F"/>
    <w:multiLevelType w:val="multilevel"/>
    <w:tmpl w:val="2A400F9F"/>
    <w:lvl w:ilvl="0" w:tentative="0">
      <w:start w:val="1"/>
      <w:numFmt w:val="decimal"/>
      <w:pStyle w:val="32"/>
      <w:suff w:val="nothing"/>
      <w:lvlText w:val="%1　"/>
      <w:lvlJc w:val="left"/>
      <w:pPr>
        <w:ind w:left="0" w:firstLine="0"/>
      </w:pPr>
      <w:rPr>
        <w:rFonts w:hint="eastAsia" w:ascii="黑体" w:hAnsi="Times New Roman" w:eastAsia="黑体"/>
        <w:b w:val="0"/>
        <w:i w:val="0"/>
        <w:sz w:val="21"/>
        <w:szCs w:val="21"/>
      </w:rPr>
    </w:lvl>
    <w:lvl w:ilvl="1" w:tentative="0">
      <w:start w:val="1"/>
      <w:numFmt w:val="decimal"/>
      <w:suff w:val="nothing"/>
      <w:lvlText w:val="%1.%2　"/>
      <w:lvlJc w:val="left"/>
      <w:pPr>
        <w:ind w:left="0" w:firstLine="0"/>
      </w:pPr>
      <w:rPr>
        <w:rFonts w:hint="eastAsia" w:ascii="黑体" w:hAnsi="Times New Roman" w:eastAsia="黑体" w:cs="Times New Roman"/>
        <w:b w:val="0"/>
        <w:bCs w:val="0"/>
        <w:i w:val="0"/>
        <w:iCs w:val="0"/>
        <w:caps w:val="0"/>
        <w:strike w:val="0"/>
        <w:dstrike w:val="0"/>
        <w:outline w:val="0"/>
        <w:shadow w:val="0"/>
        <w:emboss w:val="0"/>
        <w:imprint w:val="0"/>
        <w:vanish w:val="0"/>
        <w:spacing w:val="0"/>
        <w:kern w:val="0"/>
        <w:position w:val="0"/>
        <w:sz w:val="21"/>
        <w:szCs w:val="21"/>
        <w:u w:val="none"/>
        <w:vertAlign w:val="baseline"/>
      </w:rPr>
    </w:lvl>
    <w:lvl w:ilvl="2" w:tentative="0">
      <w:start w:val="1"/>
      <w:numFmt w:val="decimal"/>
      <w:suff w:val="nothing"/>
      <w:lvlText w:val="%1.%2.%3　"/>
      <w:lvlJc w:val="left"/>
      <w:pPr>
        <w:ind w:left="284" w:firstLine="0"/>
      </w:pPr>
      <w:rPr>
        <w:rFonts w:hint="eastAsia" w:ascii="黑体" w:hAnsi="Times New Roman" w:eastAsia="黑体"/>
        <w:b w:val="0"/>
        <w:i w:val="0"/>
        <w:sz w:val="21"/>
      </w:rPr>
    </w:lvl>
    <w:lvl w:ilvl="3" w:tentative="0">
      <w:start w:val="1"/>
      <w:numFmt w:val="decimal"/>
      <w:suff w:val="nothing"/>
      <w:lvlText w:val="4.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0">
    <w:nsid w:val="30F85BC7"/>
    <w:multiLevelType w:val="multilevel"/>
    <w:tmpl w:val="30F85BC7"/>
    <w:lvl w:ilvl="0" w:tentative="0">
      <w:start w:val="1"/>
      <w:numFmt w:val="lowerLetter"/>
      <w:lvlText w:val="%1)"/>
      <w:lvlJc w:val="left"/>
      <w:pPr>
        <w:ind w:left="440" w:hanging="440"/>
      </w:pPr>
    </w:lvl>
    <w:lvl w:ilvl="1" w:tentative="0">
      <w:start w:val="1"/>
      <w:numFmt w:val="lowerLetter"/>
      <w:lvlText w:val="%2)"/>
      <w:lvlJc w:val="left"/>
      <w:pPr>
        <w:ind w:left="720" w:hanging="360"/>
      </w:pPr>
    </w:lvl>
    <w:lvl w:ilvl="2" w:tentative="0">
      <w:start w:val="1"/>
      <w:numFmt w:val="lowerRoman"/>
      <w:lvlText w:val="%3)"/>
      <w:lvlJc w:val="left"/>
      <w:pPr>
        <w:ind w:left="1080" w:hanging="360"/>
      </w:pPr>
    </w:lvl>
    <w:lvl w:ilvl="3" w:tentative="0">
      <w:start w:val="1"/>
      <w:numFmt w:val="decimal"/>
      <w:lvlText w:val="(%4)"/>
      <w:lvlJc w:val="left"/>
      <w:pPr>
        <w:ind w:left="1440" w:hanging="360"/>
      </w:pPr>
    </w:lvl>
    <w:lvl w:ilvl="4" w:tentative="0">
      <w:start w:val="1"/>
      <w:numFmt w:val="lowerLetter"/>
      <w:lvlText w:val="(%5)"/>
      <w:lvlJc w:val="left"/>
      <w:pPr>
        <w:ind w:left="1800" w:hanging="360"/>
      </w:pPr>
    </w:lvl>
    <w:lvl w:ilvl="5" w:tentative="0">
      <w:start w:val="1"/>
      <w:numFmt w:val="lowerRoman"/>
      <w:lvlText w:val="(%6)"/>
      <w:lvlJc w:val="left"/>
      <w:pPr>
        <w:ind w:left="2160" w:hanging="360"/>
      </w:pPr>
    </w:lvl>
    <w:lvl w:ilvl="6" w:tentative="0">
      <w:start w:val="1"/>
      <w:numFmt w:val="decimal"/>
      <w:lvlText w:val="%7."/>
      <w:lvlJc w:val="left"/>
      <w:pPr>
        <w:ind w:left="2520" w:hanging="360"/>
      </w:pPr>
    </w:lvl>
    <w:lvl w:ilvl="7" w:tentative="0">
      <w:start w:val="1"/>
      <w:numFmt w:val="lowerLetter"/>
      <w:lvlText w:val="%8."/>
      <w:lvlJc w:val="left"/>
      <w:pPr>
        <w:ind w:left="2880" w:hanging="360"/>
      </w:pPr>
    </w:lvl>
    <w:lvl w:ilvl="8" w:tentative="0">
      <w:start w:val="1"/>
      <w:numFmt w:val="lowerRoman"/>
      <w:lvlText w:val="%9."/>
      <w:lvlJc w:val="left"/>
      <w:pPr>
        <w:ind w:left="3240" w:hanging="360"/>
      </w:pPr>
    </w:lvl>
  </w:abstractNum>
  <w:abstractNum w:abstractNumId="11">
    <w:nsid w:val="39B464F0"/>
    <w:multiLevelType w:val="multilevel"/>
    <w:tmpl w:val="39B464F0"/>
    <w:lvl w:ilvl="0" w:tentative="0">
      <w:start w:val="1"/>
      <w:numFmt w:val="lowerLetter"/>
      <w:lvlText w:val="%1)"/>
      <w:lvlJc w:val="left"/>
      <w:pPr>
        <w:ind w:left="800" w:hanging="440"/>
      </w:pPr>
    </w:lvl>
    <w:lvl w:ilvl="1" w:tentative="0">
      <w:start w:val="1"/>
      <w:numFmt w:val="lowerLetter"/>
      <w:lvlText w:val="%2)"/>
      <w:lvlJc w:val="left"/>
      <w:pPr>
        <w:ind w:left="1240" w:hanging="440"/>
      </w:pPr>
    </w:lvl>
    <w:lvl w:ilvl="2" w:tentative="0">
      <w:start w:val="1"/>
      <w:numFmt w:val="lowerRoman"/>
      <w:lvlText w:val="%3."/>
      <w:lvlJc w:val="right"/>
      <w:pPr>
        <w:ind w:left="1680" w:hanging="440"/>
      </w:pPr>
    </w:lvl>
    <w:lvl w:ilvl="3" w:tentative="0">
      <w:start w:val="1"/>
      <w:numFmt w:val="decimal"/>
      <w:lvlText w:val="%4."/>
      <w:lvlJc w:val="left"/>
      <w:pPr>
        <w:ind w:left="2120" w:hanging="440"/>
      </w:pPr>
    </w:lvl>
    <w:lvl w:ilvl="4" w:tentative="0">
      <w:start w:val="1"/>
      <w:numFmt w:val="lowerLetter"/>
      <w:lvlText w:val="%5)"/>
      <w:lvlJc w:val="left"/>
      <w:pPr>
        <w:ind w:left="2560" w:hanging="440"/>
      </w:pPr>
    </w:lvl>
    <w:lvl w:ilvl="5" w:tentative="0">
      <w:start w:val="1"/>
      <w:numFmt w:val="lowerRoman"/>
      <w:lvlText w:val="%6."/>
      <w:lvlJc w:val="right"/>
      <w:pPr>
        <w:ind w:left="3000" w:hanging="440"/>
      </w:pPr>
    </w:lvl>
    <w:lvl w:ilvl="6" w:tentative="0">
      <w:start w:val="1"/>
      <w:numFmt w:val="decimal"/>
      <w:lvlText w:val="%7."/>
      <w:lvlJc w:val="left"/>
      <w:pPr>
        <w:ind w:left="3440" w:hanging="440"/>
      </w:pPr>
    </w:lvl>
    <w:lvl w:ilvl="7" w:tentative="0">
      <w:start w:val="1"/>
      <w:numFmt w:val="lowerLetter"/>
      <w:lvlText w:val="%8)"/>
      <w:lvlJc w:val="left"/>
      <w:pPr>
        <w:ind w:left="3880" w:hanging="440"/>
      </w:pPr>
    </w:lvl>
    <w:lvl w:ilvl="8" w:tentative="0">
      <w:start w:val="1"/>
      <w:numFmt w:val="lowerRoman"/>
      <w:lvlText w:val="%9."/>
      <w:lvlJc w:val="right"/>
      <w:pPr>
        <w:ind w:left="4320" w:hanging="440"/>
      </w:pPr>
    </w:lvl>
  </w:abstractNum>
  <w:abstractNum w:abstractNumId="12">
    <w:nsid w:val="5E650ED5"/>
    <w:multiLevelType w:val="multilevel"/>
    <w:tmpl w:val="5E650ED5"/>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3">
    <w:nsid w:val="63712E49"/>
    <w:multiLevelType w:val="multilevel"/>
    <w:tmpl w:val="63712E49"/>
    <w:lvl w:ilvl="0" w:tentative="0">
      <w:start w:val="1"/>
      <w:numFmt w:val="lowerLetter"/>
      <w:lvlText w:val="%1)"/>
      <w:lvlJc w:val="left"/>
      <w:pPr>
        <w:ind w:left="780" w:hanging="360"/>
      </w:pPr>
      <w:rPr>
        <w:rFonts w:hint="default"/>
      </w:rPr>
    </w:lvl>
    <w:lvl w:ilvl="1" w:tentative="0">
      <w:start w:val="1"/>
      <w:numFmt w:val="lowerLetter"/>
      <w:lvlText w:val="%2)"/>
      <w:lvlJc w:val="left"/>
      <w:pPr>
        <w:ind w:left="1300" w:hanging="440"/>
      </w:pPr>
    </w:lvl>
    <w:lvl w:ilvl="2" w:tentative="0">
      <w:start w:val="1"/>
      <w:numFmt w:val="lowerRoman"/>
      <w:lvlText w:val="%3."/>
      <w:lvlJc w:val="right"/>
      <w:pPr>
        <w:ind w:left="1740" w:hanging="440"/>
      </w:pPr>
    </w:lvl>
    <w:lvl w:ilvl="3" w:tentative="0">
      <w:start w:val="1"/>
      <w:numFmt w:val="decimal"/>
      <w:lvlText w:val="%4."/>
      <w:lvlJc w:val="left"/>
      <w:pPr>
        <w:ind w:left="2180" w:hanging="440"/>
      </w:pPr>
    </w:lvl>
    <w:lvl w:ilvl="4" w:tentative="0">
      <w:start w:val="1"/>
      <w:numFmt w:val="lowerLetter"/>
      <w:lvlText w:val="%5)"/>
      <w:lvlJc w:val="left"/>
      <w:pPr>
        <w:ind w:left="2620" w:hanging="440"/>
      </w:pPr>
    </w:lvl>
    <w:lvl w:ilvl="5" w:tentative="0">
      <w:start w:val="1"/>
      <w:numFmt w:val="lowerRoman"/>
      <w:lvlText w:val="%6."/>
      <w:lvlJc w:val="right"/>
      <w:pPr>
        <w:ind w:left="3060" w:hanging="440"/>
      </w:pPr>
    </w:lvl>
    <w:lvl w:ilvl="6" w:tentative="0">
      <w:start w:val="1"/>
      <w:numFmt w:val="decimal"/>
      <w:lvlText w:val="%7."/>
      <w:lvlJc w:val="left"/>
      <w:pPr>
        <w:ind w:left="3500" w:hanging="440"/>
      </w:pPr>
    </w:lvl>
    <w:lvl w:ilvl="7" w:tentative="0">
      <w:start w:val="1"/>
      <w:numFmt w:val="lowerLetter"/>
      <w:lvlText w:val="%8)"/>
      <w:lvlJc w:val="left"/>
      <w:pPr>
        <w:ind w:left="3940" w:hanging="440"/>
      </w:pPr>
    </w:lvl>
    <w:lvl w:ilvl="8" w:tentative="0">
      <w:start w:val="1"/>
      <w:numFmt w:val="lowerRoman"/>
      <w:lvlText w:val="%9."/>
      <w:lvlJc w:val="right"/>
      <w:pPr>
        <w:ind w:left="4380" w:hanging="440"/>
      </w:pPr>
    </w:lvl>
  </w:abstractNum>
  <w:abstractNum w:abstractNumId="14">
    <w:nsid w:val="646700B5"/>
    <w:multiLevelType w:val="multilevel"/>
    <w:tmpl w:val="646700B5"/>
    <w:lvl w:ilvl="0" w:tentative="0">
      <w:start w:val="1"/>
      <w:numFmt w:val="lowerLetter"/>
      <w:lvlText w:val="%1)"/>
      <w:lvlJc w:val="left"/>
      <w:pPr>
        <w:ind w:left="800" w:hanging="440"/>
      </w:pPr>
    </w:lvl>
    <w:lvl w:ilvl="1" w:tentative="0">
      <w:start w:val="1"/>
      <w:numFmt w:val="lowerLetter"/>
      <w:lvlText w:val="%2)"/>
      <w:lvlJc w:val="left"/>
      <w:pPr>
        <w:ind w:left="1240" w:hanging="440"/>
      </w:pPr>
    </w:lvl>
    <w:lvl w:ilvl="2" w:tentative="0">
      <w:start w:val="1"/>
      <w:numFmt w:val="lowerRoman"/>
      <w:lvlText w:val="%3."/>
      <w:lvlJc w:val="right"/>
      <w:pPr>
        <w:ind w:left="1680" w:hanging="440"/>
      </w:pPr>
    </w:lvl>
    <w:lvl w:ilvl="3" w:tentative="0">
      <w:start w:val="1"/>
      <w:numFmt w:val="decimal"/>
      <w:lvlText w:val="%4."/>
      <w:lvlJc w:val="left"/>
      <w:pPr>
        <w:ind w:left="2120" w:hanging="440"/>
      </w:pPr>
    </w:lvl>
    <w:lvl w:ilvl="4" w:tentative="0">
      <w:start w:val="1"/>
      <w:numFmt w:val="lowerLetter"/>
      <w:lvlText w:val="%5)"/>
      <w:lvlJc w:val="left"/>
      <w:pPr>
        <w:ind w:left="2560" w:hanging="440"/>
      </w:pPr>
    </w:lvl>
    <w:lvl w:ilvl="5" w:tentative="0">
      <w:start w:val="1"/>
      <w:numFmt w:val="lowerRoman"/>
      <w:lvlText w:val="%6."/>
      <w:lvlJc w:val="right"/>
      <w:pPr>
        <w:ind w:left="3000" w:hanging="440"/>
      </w:pPr>
    </w:lvl>
    <w:lvl w:ilvl="6" w:tentative="0">
      <w:start w:val="1"/>
      <w:numFmt w:val="decimal"/>
      <w:lvlText w:val="%7."/>
      <w:lvlJc w:val="left"/>
      <w:pPr>
        <w:ind w:left="3440" w:hanging="440"/>
      </w:pPr>
    </w:lvl>
    <w:lvl w:ilvl="7" w:tentative="0">
      <w:start w:val="1"/>
      <w:numFmt w:val="lowerLetter"/>
      <w:lvlText w:val="%8)"/>
      <w:lvlJc w:val="left"/>
      <w:pPr>
        <w:ind w:left="3880" w:hanging="440"/>
      </w:pPr>
    </w:lvl>
    <w:lvl w:ilvl="8" w:tentative="0">
      <w:start w:val="1"/>
      <w:numFmt w:val="lowerRoman"/>
      <w:lvlText w:val="%9."/>
      <w:lvlJc w:val="right"/>
      <w:pPr>
        <w:ind w:left="4320" w:hanging="440"/>
      </w:pPr>
    </w:lvl>
  </w:abstractNum>
  <w:abstractNum w:abstractNumId="15">
    <w:nsid w:val="6CEA2025"/>
    <w:multiLevelType w:val="multilevel"/>
    <w:tmpl w:val="6CEA2025"/>
    <w:lvl w:ilvl="0" w:tentative="0">
      <w:start w:val="1"/>
      <w:numFmt w:val="none"/>
      <w:pStyle w:val="33"/>
      <w:suff w:val="nothing"/>
      <w:lvlText w:val="%1"/>
      <w:lvlJc w:val="left"/>
      <w:pPr>
        <w:ind w:left="0" w:firstLine="0"/>
      </w:pPr>
      <w:rPr>
        <w:rFonts w:hint="default" w:ascii="Times New Roman" w:hAnsi="Times New Roman"/>
        <w:b/>
        <w:i w:val="0"/>
        <w:sz w:val="21"/>
      </w:rPr>
    </w:lvl>
    <w:lvl w:ilvl="1" w:tentative="0">
      <w:start w:val="1"/>
      <w:numFmt w:val="decimal"/>
      <w:pStyle w:val="25"/>
      <w:suff w:val="nothing"/>
      <w:lvlText w:val="%1%2　"/>
      <w:lvlJc w:val="left"/>
      <w:pPr>
        <w:ind w:left="360" w:firstLine="0"/>
      </w:pPr>
      <w:rPr>
        <w:rFonts w:hint="eastAsia" w:ascii="黑体" w:hAnsi="Times New Roman" w:eastAsia="黑体"/>
        <w:b w:val="0"/>
        <w:i w:val="0"/>
        <w:sz w:val="21"/>
      </w:rPr>
    </w:lvl>
    <w:lvl w:ilvl="2" w:tentative="0">
      <w:start w:val="1"/>
      <w:numFmt w:val="decimal"/>
      <w:pStyle w:val="28"/>
      <w:suff w:val="nothing"/>
      <w:lvlText w:val="%1%2.%3　"/>
      <w:lvlJc w:val="left"/>
      <w:pPr>
        <w:ind w:left="0" w:firstLine="0"/>
      </w:pPr>
      <w:rPr>
        <w:rFonts w:hint="eastAsia" w:ascii="黑体" w:hAnsi="Times New Roman" w:eastAsia="黑体"/>
        <w:b w:val="0"/>
        <w:i w:val="0"/>
        <w:sz w:val="21"/>
      </w:rPr>
    </w:lvl>
    <w:lvl w:ilvl="3" w:tentative="0">
      <w:start w:val="1"/>
      <w:numFmt w:val="decimal"/>
      <w:pStyle w:val="31"/>
      <w:suff w:val="nothing"/>
      <w:lvlText w:val="%1%2.%3.%4　"/>
      <w:lvlJc w:val="left"/>
      <w:pPr>
        <w:ind w:left="0" w:firstLine="0"/>
      </w:pPr>
      <w:rPr>
        <w:rFonts w:hint="eastAsia" w:ascii="黑体" w:hAnsi="Times New Roman" w:eastAsia="黑体"/>
        <w:b w:val="0"/>
        <w:i w:val="0"/>
        <w:sz w:val="21"/>
      </w:rPr>
    </w:lvl>
    <w:lvl w:ilvl="4" w:tentative="0">
      <w:start w:val="1"/>
      <w:numFmt w:val="decimal"/>
      <w:suff w:val="nothing"/>
      <w:lvlText w:val="%1%2.%3.%4.%5　"/>
      <w:lvlJc w:val="left"/>
      <w:pPr>
        <w:ind w:left="540" w:firstLine="0"/>
      </w:pPr>
      <w:rPr>
        <w:rFonts w:hint="eastAsia" w:ascii="黑体" w:hAnsi="Times New Roman" w:eastAsia="黑体"/>
        <w:b w:val="0"/>
        <w:i w:val="0"/>
        <w:sz w:val="21"/>
      </w:rPr>
    </w:lvl>
    <w:lvl w:ilvl="5" w:tentative="0">
      <w:start w:val="1"/>
      <w:numFmt w:val="decimal"/>
      <w:suff w:val="nothing"/>
      <w:lvlText w:val="%1%2.%3.%4.%5.%6　"/>
      <w:lvlJc w:val="left"/>
      <w:pPr>
        <w:ind w:left="0" w:firstLine="0"/>
      </w:pPr>
      <w:rPr>
        <w:rFonts w:hint="eastAsia" w:ascii="黑体" w:hAnsi="Times New Roman" w:eastAsia="黑体"/>
        <w:b w:val="0"/>
        <w:i w:val="0"/>
        <w:sz w:val="21"/>
      </w:rPr>
    </w:lvl>
    <w:lvl w:ilvl="6" w:tentative="0">
      <w:start w:val="1"/>
      <w:numFmt w:val="decimal"/>
      <w:suff w:val="nothing"/>
      <w:lvlText w:val="%1%2.%3.%4.%5.%6.%7　"/>
      <w:lvlJc w:val="left"/>
      <w:pPr>
        <w:ind w:left="0" w:firstLine="0"/>
      </w:pPr>
      <w:rPr>
        <w:rFonts w:hint="eastAsia" w:ascii="黑体" w:hAnsi="Times New Roman"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5"/>
  </w:num>
  <w:num w:numId="2">
    <w:abstractNumId w:val="9"/>
  </w:num>
  <w:num w:numId="3">
    <w:abstractNumId w:val="5"/>
  </w:num>
  <w:num w:numId="4">
    <w:abstractNumId w:val="2"/>
  </w:num>
  <w:num w:numId="5">
    <w:abstractNumId w:val="0"/>
  </w:num>
  <w:num w:numId="6">
    <w:abstractNumId w:val="1"/>
  </w:num>
  <w:num w:numId="7">
    <w:abstractNumId w:val="10"/>
  </w:num>
  <w:num w:numId="8">
    <w:abstractNumId w:val="4"/>
  </w:num>
  <w:num w:numId="9">
    <w:abstractNumId w:val="13"/>
  </w:num>
  <w:num w:numId="10">
    <w:abstractNumId w:val="7"/>
  </w:num>
  <w:num w:numId="11">
    <w:abstractNumId w:val="8"/>
  </w:num>
  <w:num w:numId="12">
    <w:abstractNumId w:val="3"/>
  </w:num>
  <w:num w:numId="13">
    <w:abstractNumId w:val="6"/>
  </w:num>
  <w:num w:numId="14">
    <w:abstractNumId w:val="11"/>
  </w:num>
  <w:num w:numId="15">
    <w:abstractNumId w:val="14"/>
  </w:num>
  <w:num w:numId="1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2"/>
  <w:bordersDoNotSurroundHeader w:val="1"/>
  <w:bordersDoNotSurroundFooter w:val="1"/>
  <w:trackRevisions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NhNzY0ZDkyN2IyZmI1YWM4NDI0YzMxNTczYjkxOGYifQ=="/>
  </w:docVars>
  <w:rsids>
    <w:rsidRoot w:val="00BC7831"/>
    <w:rsid w:val="00016417"/>
    <w:rsid w:val="00026B5C"/>
    <w:rsid w:val="000316E3"/>
    <w:rsid w:val="00044563"/>
    <w:rsid w:val="00051519"/>
    <w:rsid w:val="00051B7C"/>
    <w:rsid w:val="00053659"/>
    <w:rsid w:val="00056BCB"/>
    <w:rsid w:val="00060D8E"/>
    <w:rsid w:val="00067C31"/>
    <w:rsid w:val="00080D52"/>
    <w:rsid w:val="000C29F0"/>
    <w:rsid w:val="000E71FD"/>
    <w:rsid w:val="000F1177"/>
    <w:rsid w:val="000F3546"/>
    <w:rsid w:val="000F3E98"/>
    <w:rsid w:val="000F4A6A"/>
    <w:rsid w:val="001011E6"/>
    <w:rsid w:val="00101828"/>
    <w:rsid w:val="001031C7"/>
    <w:rsid w:val="001057F7"/>
    <w:rsid w:val="001074B6"/>
    <w:rsid w:val="0011064A"/>
    <w:rsid w:val="00110943"/>
    <w:rsid w:val="00111257"/>
    <w:rsid w:val="00112E5C"/>
    <w:rsid w:val="00114E8C"/>
    <w:rsid w:val="00123D74"/>
    <w:rsid w:val="00140E8D"/>
    <w:rsid w:val="00160984"/>
    <w:rsid w:val="0016198F"/>
    <w:rsid w:val="00165E1D"/>
    <w:rsid w:val="00171575"/>
    <w:rsid w:val="00172F7F"/>
    <w:rsid w:val="00184727"/>
    <w:rsid w:val="001859E0"/>
    <w:rsid w:val="00195740"/>
    <w:rsid w:val="00195EBA"/>
    <w:rsid w:val="001A33E4"/>
    <w:rsid w:val="001A6678"/>
    <w:rsid w:val="001C487F"/>
    <w:rsid w:val="001C4C2F"/>
    <w:rsid w:val="001C5DF8"/>
    <w:rsid w:val="001E37EF"/>
    <w:rsid w:val="001E3CBE"/>
    <w:rsid w:val="001E44E6"/>
    <w:rsid w:val="001F2804"/>
    <w:rsid w:val="00201729"/>
    <w:rsid w:val="00210EDC"/>
    <w:rsid w:val="00215E52"/>
    <w:rsid w:val="0022359B"/>
    <w:rsid w:val="0022497C"/>
    <w:rsid w:val="00226F03"/>
    <w:rsid w:val="00233185"/>
    <w:rsid w:val="002349EE"/>
    <w:rsid w:val="00240ECC"/>
    <w:rsid w:val="002568DB"/>
    <w:rsid w:val="00263688"/>
    <w:rsid w:val="00264A2A"/>
    <w:rsid w:val="002750D9"/>
    <w:rsid w:val="0029320C"/>
    <w:rsid w:val="00295DFF"/>
    <w:rsid w:val="002A1ED9"/>
    <w:rsid w:val="002A3A5D"/>
    <w:rsid w:val="002A3D14"/>
    <w:rsid w:val="002A671D"/>
    <w:rsid w:val="002A716C"/>
    <w:rsid w:val="002C128D"/>
    <w:rsid w:val="002C2108"/>
    <w:rsid w:val="002D1620"/>
    <w:rsid w:val="002D2C47"/>
    <w:rsid w:val="002E27BA"/>
    <w:rsid w:val="002F0076"/>
    <w:rsid w:val="002F33B1"/>
    <w:rsid w:val="00320AAA"/>
    <w:rsid w:val="00323AF1"/>
    <w:rsid w:val="003362F1"/>
    <w:rsid w:val="0034011E"/>
    <w:rsid w:val="00350DAF"/>
    <w:rsid w:val="00370C25"/>
    <w:rsid w:val="00373421"/>
    <w:rsid w:val="0038160E"/>
    <w:rsid w:val="00387A6D"/>
    <w:rsid w:val="003943CB"/>
    <w:rsid w:val="003A3CC8"/>
    <w:rsid w:val="003A7705"/>
    <w:rsid w:val="003B235D"/>
    <w:rsid w:val="003B4F8D"/>
    <w:rsid w:val="003B7B7F"/>
    <w:rsid w:val="003C0FB2"/>
    <w:rsid w:val="003C3F93"/>
    <w:rsid w:val="003D24A5"/>
    <w:rsid w:val="003F20E2"/>
    <w:rsid w:val="004045D9"/>
    <w:rsid w:val="00413F82"/>
    <w:rsid w:val="00422ACF"/>
    <w:rsid w:val="00427870"/>
    <w:rsid w:val="00435258"/>
    <w:rsid w:val="0043594C"/>
    <w:rsid w:val="00437239"/>
    <w:rsid w:val="004415F3"/>
    <w:rsid w:val="00442D4F"/>
    <w:rsid w:val="00452D17"/>
    <w:rsid w:val="0045302C"/>
    <w:rsid w:val="004549E3"/>
    <w:rsid w:val="0045648B"/>
    <w:rsid w:val="00456939"/>
    <w:rsid w:val="00467DE9"/>
    <w:rsid w:val="0048480D"/>
    <w:rsid w:val="004877B3"/>
    <w:rsid w:val="004B5E37"/>
    <w:rsid w:val="004B6AC1"/>
    <w:rsid w:val="004C6CB0"/>
    <w:rsid w:val="004E39D6"/>
    <w:rsid w:val="004F7D20"/>
    <w:rsid w:val="00514F56"/>
    <w:rsid w:val="005160A8"/>
    <w:rsid w:val="00531A3F"/>
    <w:rsid w:val="005340EA"/>
    <w:rsid w:val="0056475B"/>
    <w:rsid w:val="00564F91"/>
    <w:rsid w:val="005656AC"/>
    <w:rsid w:val="005675F6"/>
    <w:rsid w:val="005713DD"/>
    <w:rsid w:val="005756B0"/>
    <w:rsid w:val="00582DB5"/>
    <w:rsid w:val="0058388E"/>
    <w:rsid w:val="005A3BE8"/>
    <w:rsid w:val="005A4262"/>
    <w:rsid w:val="005B63FD"/>
    <w:rsid w:val="005B7D20"/>
    <w:rsid w:val="005C4D5C"/>
    <w:rsid w:val="005C5B81"/>
    <w:rsid w:val="005D0524"/>
    <w:rsid w:val="005D718A"/>
    <w:rsid w:val="005E4503"/>
    <w:rsid w:val="005F041A"/>
    <w:rsid w:val="005F249D"/>
    <w:rsid w:val="005F3737"/>
    <w:rsid w:val="005F72FB"/>
    <w:rsid w:val="00603E2B"/>
    <w:rsid w:val="00615011"/>
    <w:rsid w:val="006156D5"/>
    <w:rsid w:val="00631707"/>
    <w:rsid w:val="006421B0"/>
    <w:rsid w:val="00650913"/>
    <w:rsid w:val="00656982"/>
    <w:rsid w:val="00657166"/>
    <w:rsid w:val="00662722"/>
    <w:rsid w:val="00664A03"/>
    <w:rsid w:val="0066525C"/>
    <w:rsid w:val="00670459"/>
    <w:rsid w:val="00673E36"/>
    <w:rsid w:val="00674610"/>
    <w:rsid w:val="00674D46"/>
    <w:rsid w:val="00674F2F"/>
    <w:rsid w:val="0068444E"/>
    <w:rsid w:val="00687204"/>
    <w:rsid w:val="00692CC5"/>
    <w:rsid w:val="0069550A"/>
    <w:rsid w:val="006C561F"/>
    <w:rsid w:val="006D230F"/>
    <w:rsid w:val="006E0505"/>
    <w:rsid w:val="006E4104"/>
    <w:rsid w:val="006E78C3"/>
    <w:rsid w:val="00703F4C"/>
    <w:rsid w:val="00724523"/>
    <w:rsid w:val="00737946"/>
    <w:rsid w:val="00737EFF"/>
    <w:rsid w:val="00742484"/>
    <w:rsid w:val="00754AD5"/>
    <w:rsid w:val="007558D6"/>
    <w:rsid w:val="00776235"/>
    <w:rsid w:val="0078110C"/>
    <w:rsid w:val="00782E64"/>
    <w:rsid w:val="00795C54"/>
    <w:rsid w:val="007A1554"/>
    <w:rsid w:val="007A3232"/>
    <w:rsid w:val="007A70F0"/>
    <w:rsid w:val="007A732B"/>
    <w:rsid w:val="007C7383"/>
    <w:rsid w:val="007D171C"/>
    <w:rsid w:val="007D24E9"/>
    <w:rsid w:val="007E7C39"/>
    <w:rsid w:val="007F11D1"/>
    <w:rsid w:val="0081051D"/>
    <w:rsid w:val="00826483"/>
    <w:rsid w:val="00846C0C"/>
    <w:rsid w:val="00862A07"/>
    <w:rsid w:val="00871FB9"/>
    <w:rsid w:val="00873BC7"/>
    <w:rsid w:val="0089771D"/>
    <w:rsid w:val="008A7CB6"/>
    <w:rsid w:val="008B1166"/>
    <w:rsid w:val="008B1F46"/>
    <w:rsid w:val="008C7CF0"/>
    <w:rsid w:val="008D309F"/>
    <w:rsid w:val="008F7435"/>
    <w:rsid w:val="0090049C"/>
    <w:rsid w:val="00921233"/>
    <w:rsid w:val="00931243"/>
    <w:rsid w:val="009401B9"/>
    <w:rsid w:val="009521F7"/>
    <w:rsid w:val="00961294"/>
    <w:rsid w:val="00970892"/>
    <w:rsid w:val="009807BE"/>
    <w:rsid w:val="00981EAB"/>
    <w:rsid w:val="00982674"/>
    <w:rsid w:val="00984ED3"/>
    <w:rsid w:val="00990F61"/>
    <w:rsid w:val="009C46ED"/>
    <w:rsid w:val="009C6235"/>
    <w:rsid w:val="009D70AD"/>
    <w:rsid w:val="009F3AEC"/>
    <w:rsid w:val="00A030CE"/>
    <w:rsid w:val="00A07FAD"/>
    <w:rsid w:val="00A141CA"/>
    <w:rsid w:val="00A14AD3"/>
    <w:rsid w:val="00A3177E"/>
    <w:rsid w:val="00A540A5"/>
    <w:rsid w:val="00A62A8E"/>
    <w:rsid w:val="00A66EC1"/>
    <w:rsid w:val="00A70F33"/>
    <w:rsid w:val="00A80E41"/>
    <w:rsid w:val="00A860AD"/>
    <w:rsid w:val="00A91F4F"/>
    <w:rsid w:val="00A93EB2"/>
    <w:rsid w:val="00A96103"/>
    <w:rsid w:val="00AA18B1"/>
    <w:rsid w:val="00AB3E24"/>
    <w:rsid w:val="00AC469E"/>
    <w:rsid w:val="00AC6B0B"/>
    <w:rsid w:val="00AE2D15"/>
    <w:rsid w:val="00AF1FB3"/>
    <w:rsid w:val="00AF4FBC"/>
    <w:rsid w:val="00B01648"/>
    <w:rsid w:val="00B100E3"/>
    <w:rsid w:val="00B24D47"/>
    <w:rsid w:val="00B33D67"/>
    <w:rsid w:val="00B364AB"/>
    <w:rsid w:val="00B43C71"/>
    <w:rsid w:val="00B50F13"/>
    <w:rsid w:val="00B530B7"/>
    <w:rsid w:val="00B5365B"/>
    <w:rsid w:val="00B573EC"/>
    <w:rsid w:val="00B878C8"/>
    <w:rsid w:val="00BB21A0"/>
    <w:rsid w:val="00BB49F7"/>
    <w:rsid w:val="00BB5065"/>
    <w:rsid w:val="00BC0C3A"/>
    <w:rsid w:val="00BC7831"/>
    <w:rsid w:val="00BE209D"/>
    <w:rsid w:val="00BF4396"/>
    <w:rsid w:val="00BF7B6A"/>
    <w:rsid w:val="00C00024"/>
    <w:rsid w:val="00C1420C"/>
    <w:rsid w:val="00C22FF5"/>
    <w:rsid w:val="00C31CF7"/>
    <w:rsid w:val="00C53C0E"/>
    <w:rsid w:val="00C553DB"/>
    <w:rsid w:val="00C5744B"/>
    <w:rsid w:val="00C662CA"/>
    <w:rsid w:val="00C7421B"/>
    <w:rsid w:val="00C75D64"/>
    <w:rsid w:val="00C86BEC"/>
    <w:rsid w:val="00C91991"/>
    <w:rsid w:val="00CA373C"/>
    <w:rsid w:val="00CA6B20"/>
    <w:rsid w:val="00CB1C8C"/>
    <w:rsid w:val="00CD46DA"/>
    <w:rsid w:val="00CE2236"/>
    <w:rsid w:val="00CF0E5F"/>
    <w:rsid w:val="00CF1295"/>
    <w:rsid w:val="00D07ACD"/>
    <w:rsid w:val="00D24343"/>
    <w:rsid w:val="00D35B46"/>
    <w:rsid w:val="00D369BD"/>
    <w:rsid w:val="00D566D2"/>
    <w:rsid w:val="00D62642"/>
    <w:rsid w:val="00D70986"/>
    <w:rsid w:val="00D8681F"/>
    <w:rsid w:val="00D86867"/>
    <w:rsid w:val="00D920B9"/>
    <w:rsid w:val="00D92153"/>
    <w:rsid w:val="00DA28B3"/>
    <w:rsid w:val="00DA744C"/>
    <w:rsid w:val="00DC53D1"/>
    <w:rsid w:val="00DD4864"/>
    <w:rsid w:val="00DE1D6D"/>
    <w:rsid w:val="00E0198F"/>
    <w:rsid w:val="00E07A2D"/>
    <w:rsid w:val="00E16B2D"/>
    <w:rsid w:val="00E2404C"/>
    <w:rsid w:val="00E2495D"/>
    <w:rsid w:val="00E2561B"/>
    <w:rsid w:val="00E41FD8"/>
    <w:rsid w:val="00E463FE"/>
    <w:rsid w:val="00E46F2F"/>
    <w:rsid w:val="00E60530"/>
    <w:rsid w:val="00E607F4"/>
    <w:rsid w:val="00E86133"/>
    <w:rsid w:val="00E91328"/>
    <w:rsid w:val="00E91C18"/>
    <w:rsid w:val="00E95A96"/>
    <w:rsid w:val="00E976E3"/>
    <w:rsid w:val="00EB2E65"/>
    <w:rsid w:val="00EB7EB8"/>
    <w:rsid w:val="00EC75D4"/>
    <w:rsid w:val="00ED11F1"/>
    <w:rsid w:val="00EF27E0"/>
    <w:rsid w:val="00EF6A8B"/>
    <w:rsid w:val="00F024E8"/>
    <w:rsid w:val="00F10A24"/>
    <w:rsid w:val="00F11031"/>
    <w:rsid w:val="00F27B39"/>
    <w:rsid w:val="00F33B01"/>
    <w:rsid w:val="00F51C34"/>
    <w:rsid w:val="00F722B8"/>
    <w:rsid w:val="00F73D1F"/>
    <w:rsid w:val="00F948F3"/>
    <w:rsid w:val="00FB05A0"/>
    <w:rsid w:val="00FD0652"/>
    <w:rsid w:val="00FD31F6"/>
    <w:rsid w:val="00FD741A"/>
    <w:rsid w:val="00FE1976"/>
    <w:rsid w:val="00FE2E27"/>
    <w:rsid w:val="00FF2232"/>
    <w:rsid w:val="00FF4522"/>
    <w:rsid w:val="00FF4D27"/>
    <w:rsid w:val="00FF6725"/>
    <w:rsid w:val="01F36FCC"/>
    <w:rsid w:val="0227136C"/>
    <w:rsid w:val="03B337B9"/>
    <w:rsid w:val="045A77D7"/>
    <w:rsid w:val="059775F7"/>
    <w:rsid w:val="05AB57F7"/>
    <w:rsid w:val="07505736"/>
    <w:rsid w:val="078B7CA7"/>
    <w:rsid w:val="07A7230A"/>
    <w:rsid w:val="08190FC5"/>
    <w:rsid w:val="08456DD0"/>
    <w:rsid w:val="088828F4"/>
    <w:rsid w:val="08D12032"/>
    <w:rsid w:val="08EC0C19"/>
    <w:rsid w:val="091B525A"/>
    <w:rsid w:val="09420839"/>
    <w:rsid w:val="09844C11"/>
    <w:rsid w:val="09C073FB"/>
    <w:rsid w:val="09E224DD"/>
    <w:rsid w:val="0A726D9F"/>
    <w:rsid w:val="0A90727B"/>
    <w:rsid w:val="0A9A6348"/>
    <w:rsid w:val="0B1F52D6"/>
    <w:rsid w:val="0B6F24A2"/>
    <w:rsid w:val="0C42419B"/>
    <w:rsid w:val="0C830F61"/>
    <w:rsid w:val="0E12656B"/>
    <w:rsid w:val="0E183672"/>
    <w:rsid w:val="0E236331"/>
    <w:rsid w:val="0E2A204D"/>
    <w:rsid w:val="0FE65D79"/>
    <w:rsid w:val="10541FC5"/>
    <w:rsid w:val="10741C20"/>
    <w:rsid w:val="11492EE8"/>
    <w:rsid w:val="116F5CC6"/>
    <w:rsid w:val="11AC4683"/>
    <w:rsid w:val="126D4F6E"/>
    <w:rsid w:val="12AA7B7B"/>
    <w:rsid w:val="13506E23"/>
    <w:rsid w:val="138664CC"/>
    <w:rsid w:val="13C90BC5"/>
    <w:rsid w:val="140D379B"/>
    <w:rsid w:val="14445B7A"/>
    <w:rsid w:val="15FD4466"/>
    <w:rsid w:val="165A3666"/>
    <w:rsid w:val="181B6F3F"/>
    <w:rsid w:val="18867602"/>
    <w:rsid w:val="18C86AFF"/>
    <w:rsid w:val="18DF6862"/>
    <w:rsid w:val="190548A7"/>
    <w:rsid w:val="19490709"/>
    <w:rsid w:val="19FB14B8"/>
    <w:rsid w:val="1A847E25"/>
    <w:rsid w:val="1B5C4531"/>
    <w:rsid w:val="1BD87DA7"/>
    <w:rsid w:val="1C646FED"/>
    <w:rsid w:val="1CA417B6"/>
    <w:rsid w:val="1CC7757C"/>
    <w:rsid w:val="1CD2616F"/>
    <w:rsid w:val="1CFD19CF"/>
    <w:rsid w:val="1D1A3B4F"/>
    <w:rsid w:val="1D690DA5"/>
    <w:rsid w:val="1E2F493C"/>
    <w:rsid w:val="1E5A5A62"/>
    <w:rsid w:val="1E965458"/>
    <w:rsid w:val="1EFD0551"/>
    <w:rsid w:val="1F511A35"/>
    <w:rsid w:val="1F6A4EED"/>
    <w:rsid w:val="20326AA0"/>
    <w:rsid w:val="20D96F19"/>
    <w:rsid w:val="22E3709A"/>
    <w:rsid w:val="22FA20DE"/>
    <w:rsid w:val="250B4B28"/>
    <w:rsid w:val="256830E4"/>
    <w:rsid w:val="25DB0CB6"/>
    <w:rsid w:val="2623053C"/>
    <w:rsid w:val="26CE4C91"/>
    <w:rsid w:val="270F3FF9"/>
    <w:rsid w:val="27E606F5"/>
    <w:rsid w:val="28730BC4"/>
    <w:rsid w:val="28EF4FE9"/>
    <w:rsid w:val="290F75E7"/>
    <w:rsid w:val="29BA5F93"/>
    <w:rsid w:val="2A6F70D5"/>
    <w:rsid w:val="2A984BE7"/>
    <w:rsid w:val="2AE73E01"/>
    <w:rsid w:val="2BC2163A"/>
    <w:rsid w:val="2C8E25FE"/>
    <w:rsid w:val="2CEE002E"/>
    <w:rsid w:val="2D4F3C74"/>
    <w:rsid w:val="2DE65587"/>
    <w:rsid w:val="2DF14458"/>
    <w:rsid w:val="2E23198B"/>
    <w:rsid w:val="2E6D30AB"/>
    <w:rsid w:val="2EA76277"/>
    <w:rsid w:val="300D4E4E"/>
    <w:rsid w:val="302332E4"/>
    <w:rsid w:val="30C61BCC"/>
    <w:rsid w:val="30E16A06"/>
    <w:rsid w:val="31097ACA"/>
    <w:rsid w:val="31A014D2"/>
    <w:rsid w:val="31F31444"/>
    <w:rsid w:val="32963A97"/>
    <w:rsid w:val="32BD7C15"/>
    <w:rsid w:val="33614406"/>
    <w:rsid w:val="33770F5C"/>
    <w:rsid w:val="33B20DB3"/>
    <w:rsid w:val="34047374"/>
    <w:rsid w:val="340A6274"/>
    <w:rsid w:val="34DD74E5"/>
    <w:rsid w:val="35681128"/>
    <w:rsid w:val="36D3240E"/>
    <w:rsid w:val="36E60ABC"/>
    <w:rsid w:val="377C4129"/>
    <w:rsid w:val="37AA5E0B"/>
    <w:rsid w:val="38710670"/>
    <w:rsid w:val="38FF31A6"/>
    <w:rsid w:val="392874FC"/>
    <w:rsid w:val="398E06BB"/>
    <w:rsid w:val="39E508E3"/>
    <w:rsid w:val="39ED01CA"/>
    <w:rsid w:val="3B5755C6"/>
    <w:rsid w:val="3C776471"/>
    <w:rsid w:val="3C934658"/>
    <w:rsid w:val="3CE17F5F"/>
    <w:rsid w:val="3DB334D8"/>
    <w:rsid w:val="3E330B05"/>
    <w:rsid w:val="3E495BEB"/>
    <w:rsid w:val="3E736B67"/>
    <w:rsid w:val="3ECB2C65"/>
    <w:rsid w:val="3EEC6CA2"/>
    <w:rsid w:val="3F643586"/>
    <w:rsid w:val="3F817893"/>
    <w:rsid w:val="3F981928"/>
    <w:rsid w:val="410B2946"/>
    <w:rsid w:val="414D78EF"/>
    <w:rsid w:val="417B261E"/>
    <w:rsid w:val="41EE54C1"/>
    <w:rsid w:val="41F00B38"/>
    <w:rsid w:val="42774CAB"/>
    <w:rsid w:val="42B26724"/>
    <w:rsid w:val="441E2DB9"/>
    <w:rsid w:val="442B215A"/>
    <w:rsid w:val="447F47E6"/>
    <w:rsid w:val="452320D6"/>
    <w:rsid w:val="458A0FC3"/>
    <w:rsid w:val="45940662"/>
    <w:rsid w:val="45D109A0"/>
    <w:rsid w:val="46CE7FDE"/>
    <w:rsid w:val="47373256"/>
    <w:rsid w:val="474620A1"/>
    <w:rsid w:val="47B24801"/>
    <w:rsid w:val="482F6578"/>
    <w:rsid w:val="485A0F80"/>
    <w:rsid w:val="48877A3B"/>
    <w:rsid w:val="48C31261"/>
    <w:rsid w:val="48C919CC"/>
    <w:rsid w:val="48CD485D"/>
    <w:rsid w:val="49040D12"/>
    <w:rsid w:val="490E5A67"/>
    <w:rsid w:val="4A5642CF"/>
    <w:rsid w:val="4A6B6676"/>
    <w:rsid w:val="4A944C7A"/>
    <w:rsid w:val="4BFC21E2"/>
    <w:rsid w:val="4C1C493F"/>
    <w:rsid w:val="4C531E53"/>
    <w:rsid w:val="4DDB28FF"/>
    <w:rsid w:val="4E121B55"/>
    <w:rsid w:val="4EA07CD6"/>
    <w:rsid w:val="4F7A1C1A"/>
    <w:rsid w:val="4FEB5992"/>
    <w:rsid w:val="505F488C"/>
    <w:rsid w:val="52823B04"/>
    <w:rsid w:val="529A65BD"/>
    <w:rsid w:val="52FB52AE"/>
    <w:rsid w:val="539179BD"/>
    <w:rsid w:val="53E775E0"/>
    <w:rsid w:val="53EA2CB6"/>
    <w:rsid w:val="54994852"/>
    <w:rsid w:val="562E1EF5"/>
    <w:rsid w:val="56C83A24"/>
    <w:rsid w:val="584842DA"/>
    <w:rsid w:val="58785E97"/>
    <w:rsid w:val="58796825"/>
    <w:rsid w:val="588B1A5D"/>
    <w:rsid w:val="58DD11B1"/>
    <w:rsid w:val="593E61D0"/>
    <w:rsid w:val="597A042E"/>
    <w:rsid w:val="59986F75"/>
    <w:rsid w:val="5B310701"/>
    <w:rsid w:val="5B3F7F01"/>
    <w:rsid w:val="5C181C7A"/>
    <w:rsid w:val="5C961E18"/>
    <w:rsid w:val="5C9D69BC"/>
    <w:rsid w:val="5D4006C0"/>
    <w:rsid w:val="5D712DE6"/>
    <w:rsid w:val="5DB524FD"/>
    <w:rsid w:val="5E1C20E3"/>
    <w:rsid w:val="5E7827B7"/>
    <w:rsid w:val="5EC5584B"/>
    <w:rsid w:val="5F0F5C5C"/>
    <w:rsid w:val="5F5024DD"/>
    <w:rsid w:val="5FC213A4"/>
    <w:rsid w:val="60122DD3"/>
    <w:rsid w:val="621C0D9D"/>
    <w:rsid w:val="622F5BD0"/>
    <w:rsid w:val="63021D41"/>
    <w:rsid w:val="63417174"/>
    <w:rsid w:val="638D0C60"/>
    <w:rsid w:val="63B1540C"/>
    <w:rsid w:val="665A5341"/>
    <w:rsid w:val="66B772E6"/>
    <w:rsid w:val="66C113AA"/>
    <w:rsid w:val="67D17D16"/>
    <w:rsid w:val="67F95FA6"/>
    <w:rsid w:val="695A2E0C"/>
    <w:rsid w:val="69B432D7"/>
    <w:rsid w:val="69E77EE2"/>
    <w:rsid w:val="6A5F2B7B"/>
    <w:rsid w:val="6A9516EC"/>
    <w:rsid w:val="6BD072D0"/>
    <w:rsid w:val="6C9E4C65"/>
    <w:rsid w:val="6E201C15"/>
    <w:rsid w:val="6E612CB3"/>
    <w:rsid w:val="6F7C7E0B"/>
    <w:rsid w:val="6FC10C00"/>
    <w:rsid w:val="70BC1766"/>
    <w:rsid w:val="70D50A94"/>
    <w:rsid w:val="7200510C"/>
    <w:rsid w:val="72CE197A"/>
    <w:rsid w:val="73E958E9"/>
    <w:rsid w:val="74360D42"/>
    <w:rsid w:val="744E128A"/>
    <w:rsid w:val="7455768C"/>
    <w:rsid w:val="74D07EF1"/>
    <w:rsid w:val="76AE78BB"/>
    <w:rsid w:val="76BD6E14"/>
    <w:rsid w:val="779A18B9"/>
    <w:rsid w:val="7883527A"/>
    <w:rsid w:val="788A5D30"/>
    <w:rsid w:val="78AF606F"/>
    <w:rsid w:val="78C244A2"/>
    <w:rsid w:val="78D551A5"/>
    <w:rsid w:val="78FE05A7"/>
    <w:rsid w:val="7A2A643B"/>
    <w:rsid w:val="7BD52290"/>
    <w:rsid w:val="7CDD783C"/>
    <w:rsid w:val="7DC861E9"/>
    <w:rsid w:val="7DD273FB"/>
    <w:rsid w:val="7E042A76"/>
    <w:rsid w:val="7E555464"/>
    <w:rsid w:val="7E562072"/>
    <w:rsid w:val="7ECA122B"/>
    <w:rsid w:val="7F8550B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qFormat="1" w:uiPriority="99" w:name="annotation text"/>
    <w:lsdException w:qFormat="1" w:unhideWhenUsed="0"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qFormat="1" w:unhideWhenUsed="0" w:uiPriority="0" w:semiHidden="0"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45"/>
    <w:qFormat/>
    <w:uiPriority w:val="9"/>
    <w:pPr>
      <w:keepNext/>
      <w:keepLines/>
      <w:spacing w:before="240"/>
      <w:outlineLvl w:val="0"/>
    </w:pPr>
    <w:rPr>
      <w:rFonts w:asciiTheme="majorHAnsi" w:hAnsiTheme="majorHAnsi" w:eastAsiaTheme="majorEastAsia" w:cstheme="majorBidi"/>
      <w:color w:val="376092" w:themeColor="accent1" w:themeShade="BF"/>
      <w:sz w:val="32"/>
      <w:szCs w:val="32"/>
    </w:rPr>
  </w:style>
  <w:style w:type="paragraph" w:styleId="3">
    <w:name w:val="heading 3"/>
    <w:basedOn w:val="1"/>
    <w:next w:val="1"/>
    <w:link w:val="51"/>
    <w:semiHidden/>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4">
    <w:name w:val="annotation subject"/>
    <w:basedOn w:val="5"/>
    <w:next w:val="5"/>
    <w:link w:val="55"/>
    <w:semiHidden/>
    <w:unhideWhenUsed/>
    <w:uiPriority w:val="99"/>
    <w:rPr>
      <w:b/>
      <w:bCs/>
    </w:rPr>
  </w:style>
  <w:style w:type="paragraph" w:styleId="5">
    <w:name w:val="annotation text"/>
    <w:basedOn w:val="1"/>
    <w:link w:val="54"/>
    <w:semiHidden/>
    <w:unhideWhenUsed/>
    <w:qFormat/>
    <w:uiPriority w:val="99"/>
    <w:pPr>
      <w:jc w:val="left"/>
    </w:pPr>
  </w:style>
  <w:style w:type="paragraph" w:styleId="6">
    <w:name w:val="caption"/>
    <w:basedOn w:val="1"/>
    <w:next w:val="1"/>
    <w:unhideWhenUsed/>
    <w:qFormat/>
    <w:uiPriority w:val="35"/>
    <w:pPr>
      <w:spacing w:after="200"/>
    </w:pPr>
    <w:rPr>
      <w:i/>
      <w:iCs/>
      <w:color w:val="1F497D" w:themeColor="text2"/>
      <w:sz w:val="18"/>
      <w:szCs w:val="18"/>
      <w14:textFill>
        <w14:solidFill>
          <w14:schemeClr w14:val="tx2"/>
        </w14:solidFill>
      </w14:textFill>
    </w:rPr>
  </w:style>
  <w:style w:type="paragraph" w:styleId="7">
    <w:name w:val="Body Text 3"/>
    <w:basedOn w:val="1"/>
    <w:link w:val="23"/>
    <w:qFormat/>
    <w:uiPriority w:val="0"/>
    <w:pPr>
      <w:widowControl/>
    </w:pPr>
    <w:rPr>
      <w:rFonts w:ascii="Times New Roman" w:hAnsi="Times New Roman" w:eastAsia="FangSong_GB2312" w:cs="Times New Roman"/>
      <w:kern w:val="0"/>
      <w:sz w:val="28"/>
      <w:szCs w:val="20"/>
    </w:rPr>
  </w:style>
  <w:style w:type="paragraph" w:styleId="8">
    <w:name w:val="Date"/>
    <w:basedOn w:val="1"/>
    <w:next w:val="1"/>
    <w:link w:val="47"/>
    <w:semiHidden/>
    <w:unhideWhenUsed/>
    <w:qFormat/>
    <w:uiPriority w:val="99"/>
  </w:style>
  <w:style w:type="paragraph" w:styleId="9">
    <w:name w:val="Balloon Text"/>
    <w:basedOn w:val="1"/>
    <w:link w:val="39"/>
    <w:semiHidden/>
    <w:unhideWhenUsed/>
    <w:qFormat/>
    <w:uiPriority w:val="99"/>
    <w:rPr>
      <w:sz w:val="18"/>
      <w:szCs w:val="18"/>
    </w:rPr>
  </w:style>
  <w:style w:type="paragraph" w:styleId="10">
    <w:name w:val="footer"/>
    <w:basedOn w:val="1"/>
    <w:link w:val="36"/>
    <w:unhideWhenUsed/>
    <w:qFormat/>
    <w:uiPriority w:val="99"/>
    <w:pPr>
      <w:tabs>
        <w:tab w:val="center" w:pos="4153"/>
        <w:tab w:val="right" w:pos="8306"/>
      </w:tabs>
      <w:snapToGrid w:val="0"/>
      <w:jc w:val="left"/>
    </w:pPr>
    <w:rPr>
      <w:sz w:val="18"/>
      <w:szCs w:val="18"/>
    </w:rPr>
  </w:style>
  <w:style w:type="paragraph" w:styleId="11">
    <w:name w:val="header"/>
    <w:basedOn w:val="1"/>
    <w:link w:val="35"/>
    <w:qFormat/>
    <w:uiPriority w:val="99"/>
    <w:pPr>
      <w:tabs>
        <w:tab w:val="center" w:pos="4153"/>
        <w:tab w:val="right" w:pos="8306"/>
      </w:tabs>
      <w:snapToGrid w:val="0"/>
      <w:jc w:val="center"/>
    </w:pPr>
    <w:rPr>
      <w:rFonts w:ascii="Times New Roman" w:hAnsi="Times New Roman" w:eastAsia="宋体" w:cs="Times New Roman"/>
      <w:sz w:val="18"/>
      <w:szCs w:val="18"/>
    </w:rPr>
  </w:style>
  <w:style w:type="paragraph" w:styleId="12">
    <w:name w:val="toc 1"/>
    <w:next w:val="1"/>
    <w:qFormat/>
    <w:uiPriority w:val="39"/>
    <w:pPr>
      <w:widowControl w:val="0"/>
      <w:spacing w:before="240" w:after="120" w:line="278" w:lineRule="auto"/>
    </w:pPr>
    <w:rPr>
      <w:rFonts w:ascii="等线" w:hAnsi="Times New Roman" w:eastAsia="等线" w:cs="Times New Roman"/>
      <w:b/>
      <w:bCs/>
      <w:kern w:val="2"/>
      <w:lang w:val="en-US" w:eastAsia="zh-CN" w:bidi="ar-SA"/>
    </w:rPr>
  </w:style>
  <w:style w:type="paragraph" w:styleId="13">
    <w:name w:val="footnote text"/>
    <w:basedOn w:val="1"/>
    <w:link w:val="50"/>
    <w:semiHidden/>
    <w:unhideWhenUsed/>
    <w:qFormat/>
    <w:uiPriority w:val="99"/>
    <w:rPr>
      <w:sz w:val="20"/>
      <w:szCs w:val="20"/>
    </w:rPr>
  </w:style>
  <w:style w:type="paragraph" w:styleId="14">
    <w:name w:val="toc 2"/>
    <w:basedOn w:val="1"/>
    <w:next w:val="1"/>
    <w:unhideWhenUsed/>
    <w:qFormat/>
    <w:uiPriority w:val="39"/>
    <w:pPr>
      <w:spacing w:after="100"/>
      <w:ind w:left="210"/>
    </w:pPr>
  </w:style>
  <w:style w:type="paragraph" w:styleId="1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7">
    <w:name w:val="Strong"/>
    <w:basedOn w:val="16"/>
    <w:qFormat/>
    <w:uiPriority w:val="22"/>
    <w:rPr>
      <w:b/>
      <w:bCs/>
    </w:rPr>
  </w:style>
  <w:style w:type="character" w:styleId="18">
    <w:name w:val="Hyperlink"/>
    <w:basedOn w:val="16"/>
    <w:unhideWhenUsed/>
    <w:qFormat/>
    <w:uiPriority w:val="99"/>
    <w:rPr>
      <w:color w:val="0000FF" w:themeColor="hyperlink"/>
      <w:u w:val="single"/>
      <w14:textFill>
        <w14:solidFill>
          <w14:schemeClr w14:val="hlink"/>
        </w14:solidFill>
      </w14:textFill>
    </w:rPr>
  </w:style>
  <w:style w:type="character" w:styleId="19">
    <w:name w:val="annotation reference"/>
    <w:basedOn w:val="16"/>
    <w:semiHidden/>
    <w:unhideWhenUsed/>
    <w:uiPriority w:val="99"/>
    <w:rPr>
      <w:sz w:val="21"/>
      <w:szCs w:val="21"/>
    </w:rPr>
  </w:style>
  <w:style w:type="character" w:styleId="20">
    <w:name w:val="footnote reference"/>
    <w:basedOn w:val="16"/>
    <w:semiHidden/>
    <w:unhideWhenUsed/>
    <w:qFormat/>
    <w:uiPriority w:val="99"/>
    <w:rPr>
      <w:vertAlign w:val="superscript"/>
    </w:rPr>
  </w:style>
  <w:style w:type="table" w:styleId="22">
    <w:name w:val="Table Grid"/>
    <w:basedOn w:val="21"/>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3">
    <w:name w:val="Body Text 3 Char"/>
    <w:basedOn w:val="16"/>
    <w:link w:val="7"/>
    <w:qFormat/>
    <w:uiPriority w:val="0"/>
    <w:rPr>
      <w:rFonts w:ascii="Times New Roman" w:hAnsi="Times New Roman" w:eastAsia="FangSong_GB2312" w:cs="Times New Roman"/>
      <w:kern w:val="0"/>
      <w:sz w:val="28"/>
      <w:szCs w:val="20"/>
    </w:rPr>
  </w:style>
  <w:style w:type="character" w:customStyle="1" w:styleId="24">
    <w:name w:val="章标题 Char"/>
    <w:link w:val="25"/>
    <w:qFormat/>
    <w:uiPriority w:val="0"/>
    <w:rPr>
      <w:rFonts w:ascii="黑体" w:eastAsia="黑体"/>
    </w:rPr>
  </w:style>
  <w:style w:type="paragraph" w:customStyle="1" w:styleId="25">
    <w:name w:val="章标题"/>
    <w:next w:val="26"/>
    <w:link w:val="24"/>
    <w:qFormat/>
    <w:uiPriority w:val="0"/>
    <w:pPr>
      <w:numPr>
        <w:ilvl w:val="1"/>
        <w:numId w:val="1"/>
      </w:numPr>
      <w:spacing w:beforeLines="50" w:after="160" w:afterLines="50" w:line="278" w:lineRule="auto"/>
      <w:jc w:val="both"/>
      <w:outlineLvl w:val="1"/>
    </w:pPr>
    <w:rPr>
      <w:rFonts w:ascii="黑体" w:eastAsia="黑体" w:hAnsiTheme="minorHAnsi" w:cstheme="minorBidi"/>
      <w:kern w:val="2"/>
      <w:sz w:val="21"/>
      <w:szCs w:val="22"/>
      <w:lang w:val="en-US" w:eastAsia="zh-CN" w:bidi="ar-SA"/>
    </w:rPr>
  </w:style>
  <w:style w:type="paragraph" w:customStyle="1" w:styleId="26">
    <w:name w:val="段"/>
    <w:link w:val="44"/>
    <w:qFormat/>
    <w:uiPriority w:val="0"/>
    <w:pPr>
      <w:autoSpaceDE w:val="0"/>
      <w:autoSpaceDN w:val="0"/>
      <w:spacing w:after="160" w:line="278" w:lineRule="auto"/>
      <w:ind w:firstLine="200" w:firstLineChars="200"/>
      <w:jc w:val="both"/>
    </w:pPr>
    <w:rPr>
      <w:rFonts w:ascii="宋体" w:hAnsi="Times New Roman" w:eastAsia="宋体" w:cs="Times New Roman"/>
      <w:sz w:val="21"/>
      <w:lang w:val="en-US" w:eastAsia="zh-CN" w:bidi="ar-SA"/>
    </w:rPr>
  </w:style>
  <w:style w:type="character" w:customStyle="1" w:styleId="27">
    <w:name w:val="一级条标题 Char"/>
    <w:link w:val="28"/>
    <w:qFormat/>
    <w:uiPriority w:val="0"/>
    <w:rPr>
      <w:rFonts w:eastAsia="黑体"/>
    </w:rPr>
  </w:style>
  <w:style w:type="paragraph" w:customStyle="1" w:styleId="28">
    <w:name w:val="一级条标题"/>
    <w:next w:val="26"/>
    <w:link w:val="27"/>
    <w:qFormat/>
    <w:uiPriority w:val="0"/>
    <w:pPr>
      <w:numPr>
        <w:ilvl w:val="2"/>
        <w:numId w:val="1"/>
      </w:numPr>
      <w:spacing w:after="160" w:line="278" w:lineRule="auto"/>
      <w:outlineLvl w:val="2"/>
    </w:pPr>
    <w:rPr>
      <w:rFonts w:eastAsia="黑体" w:asciiTheme="minorHAnsi" w:hAnsiTheme="minorHAnsi" w:cstheme="minorBidi"/>
      <w:kern w:val="2"/>
      <w:sz w:val="21"/>
      <w:szCs w:val="22"/>
      <w:lang w:val="en-US" w:eastAsia="zh-CN" w:bidi="ar-SA"/>
    </w:rPr>
  </w:style>
  <w:style w:type="character" w:customStyle="1" w:styleId="29">
    <w:name w:val="页眉 Char"/>
    <w:basedOn w:val="16"/>
    <w:semiHidden/>
    <w:qFormat/>
    <w:uiPriority w:val="99"/>
    <w:rPr>
      <w:sz w:val="18"/>
      <w:szCs w:val="18"/>
    </w:rPr>
  </w:style>
  <w:style w:type="paragraph" w:customStyle="1" w:styleId="30">
    <w:name w:val="目次、标准名称标题"/>
    <w:basedOn w:val="1"/>
    <w:next w:val="1"/>
    <w:qFormat/>
    <w:uiPriority w:val="0"/>
    <w:pPr>
      <w:widowControl/>
      <w:shd w:val="clear" w:color="FFFFFF" w:fill="FFFFFF"/>
      <w:spacing w:before="640" w:after="560" w:line="460" w:lineRule="exact"/>
      <w:jc w:val="center"/>
      <w:outlineLvl w:val="0"/>
    </w:pPr>
    <w:rPr>
      <w:rFonts w:ascii="黑体" w:hAnsi="Times New Roman" w:eastAsia="黑体" w:cs="Times New Roman"/>
      <w:kern w:val="0"/>
      <w:sz w:val="32"/>
      <w:szCs w:val="20"/>
    </w:rPr>
  </w:style>
  <w:style w:type="paragraph" w:customStyle="1" w:styleId="31">
    <w:name w:val="二级条标题"/>
    <w:basedOn w:val="28"/>
    <w:next w:val="26"/>
    <w:qFormat/>
    <w:uiPriority w:val="0"/>
    <w:pPr>
      <w:numPr>
        <w:ilvl w:val="3"/>
      </w:numPr>
      <w:tabs>
        <w:tab w:val="left" w:pos="435"/>
      </w:tabs>
      <w:ind w:left="435" w:hanging="435"/>
      <w:outlineLvl w:val="3"/>
    </w:pPr>
  </w:style>
  <w:style w:type="paragraph" w:customStyle="1" w:styleId="32">
    <w:name w:val="注：（正文）"/>
    <w:basedOn w:val="1"/>
    <w:next w:val="26"/>
    <w:qFormat/>
    <w:uiPriority w:val="0"/>
    <w:pPr>
      <w:numPr>
        <w:ilvl w:val="0"/>
        <w:numId w:val="2"/>
      </w:numPr>
      <w:tabs>
        <w:tab w:val="left" w:pos="1080"/>
      </w:tabs>
      <w:autoSpaceDE w:val="0"/>
      <w:autoSpaceDN w:val="0"/>
    </w:pPr>
    <w:rPr>
      <w:rFonts w:ascii="宋体" w:hAnsi="Times New Roman" w:eastAsia="宋体" w:cs="Times New Roman"/>
      <w:kern w:val="0"/>
      <w:sz w:val="18"/>
      <w:szCs w:val="18"/>
    </w:rPr>
  </w:style>
  <w:style w:type="paragraph" w:customStyle="1" w:styleId="33">
    <w:name w:val="前言、引言标题"/>
    <w:next w:val="1"/>
    <w:qFormat/>
    <w:uiPriority w:val="0"/>
    <w:pPr>
      <w:numPr>
        <w:ilvl w:val="0"/>
        <w:numId w:val="1"/>
      </w:numPr>
      <w:shd w:val="clear" w:color="FFFFFF" w:fill="FFFFFF"/>
      <w:spacing w:before="640" w:after="560" w:line="278" w:lineRule="auto"/>
      <w:jc w:val="center"/>
      <w:outlineLvl w:val="0"/>
    </w:pPr>
    <w:rPr>
      <w:rFonts w:ascii="黑体" w:hAnsi="Times New Roman" w:eastAsia="黑体" w:cs="Times New Roman"/>
      <w:sz w:val="32"/>
      <w:lang w:val="en-US" w:eastAsia="zh-CN" w:bidi="ar-SA"/>
    </w:rPr>
  </w:style>
  <w:style w:type="paragraph" w:customStyle="1" w:styleId="34">
    <w:name w:val="标准书脚_奇数页"/>
    <w:qFormat/>
    <w:uiPriority w:val="0"/>
    <w:pPr>
      <w:spacing w:before="120" w:after="160" w:line="278" w:lineRule="auto"/>
      <w:jc w:val="right"/>
    </w:pPr>
    <w:rPr>
      <w:rFonts w:ascii="Times New Roman" w:hAnsi="Times New Roman" w:eastAsia="宋体" w:cs="Times New Roman"/>
      <w:sz w:val="18"/>
      <w:lang w:val="en-US" w:eastAsia="zh-CN" w:bidi="ar-SA"/>
    </w:rPr>
  </w:style>
  <w:style w:type="character" w:customStyle="1" w:styleId="35">
    <w:name w:val="Header Char"/>
    <w:link w:val="11"/>
    <w:qFormat/>
    <w:uiPriority w:val="99"/>
    <w:rPr>
      <w:rFonts w:ascii="Times New Roman" w:hAnsi="Times New Roman" w:eastAsia="宋体" w:cs="Times New Roman"/>
      <w:sz w:val="18"/>
      <w:szCs w:val="18"/>
    </w:rPr>
  </w:style>
  <w:style w:type="character" w:customStyle="1" w:styleId="36">
    <w:name w:val="Footer Char"/>
    <w:basedOn w:val="16"/>
    <w:link w:val="10"/>
    <w:qFormat/>
    <w:uiPriority w:val="99"/>
    <w:rPr>
      <w:sz w:val="18"/>
      <w:szCs w:val="18"/>
    </w:rPr>
  </w:style>
  <w:style w:type="paragraph" w:styleId="37">
    <w:name w:val="List Paragraph"/>
    <w:basedOn w:val="1"/>
    <w:unhideWhenUsed/>
    <w:qFormat/>
    <w:uiPriority w:val="34"/>
    <w:pPr>
      <w:ind w:firstLine="420" w:firstLineChars="200"/>
    </w:pPr>
    <w:rPr>
      <w:szCs w:val="24"/>
    </w:rPr>
  </w:style>
  <w:style w:type="character" w:customStyle="1" w:styleId="38">
    <w:name w:val="未处理的提及1"/>
    <w:basedOn w:val="16"/>
    <w:semiHidden/>
    <w:unhideWhenUsed/>
    <w:qFormat/>
    <w:uiPriority w:val="99"/>
    <w:rPr>
      <w:color w:val="605E5C"/>
      <w:shd w:val="clear" w:color="auto" w:fill="E1DFDD"/>
    </w:rPr>
  </w:style>
  <w:style w:type="character" w:customStyle="1" w:styleId="39">
    <w:name w:val="Balloon Text Char"/>
    <w:basedOn w:val="16"/>
    <w:link w:val="9"/>
    <w:semiHidden/>
    <w:qFormat/>
    <w:uiPriority w:val="99"/>
    <w:rPr>
      <w:sz w:val="18"/>
      <w:szCs w:val="18"/>
    </w:rPr>
  </w:style>
  <w:style w:type="paragraph" w:customStyle="1" w:styleId="40">
    <w:name w:val="正文 + 宋体"/>
    <w:basedOn w:val="1"/>
    <w:qFormat/>
    <w:uiPriority w:val="0"/>
    <w:pPr>
      <w:spacing w:line="360" w:lineRule="auto"/>
      <w:ind w:firstLine="480" w:firstLineChars="200"/>
    </w:pPr>
    <w:rPr>
      <w:rFonts w:ascii="宋体" w:hAnsi="宋体" w:eastAsia="宋体" w:cs="Times New Roman"/>
      <w:sz w:val="24"/>
      <w:szCs w:val="24"/>
    </w:rPr>
  </w:style>
  <w:style w:type="character" w:customStyle="1" w:styleId="41">
    <w:name w:val="fontstyle01"/>
    <w:basedOn w:val="16"/>
    <w:qFormat/>
    <w:uiPriority w:val="0"/>
    <w:rPr>
      <w:rFonts w:hint="eastAsia" w:ascii="仿宋" w:hAnsi="仿宋" w:eastAsia="仿宋"/>
      <w:color w:val="000000"/>
      <w:sz w:val="30"/>
      <w:szCs w:val="30"/>
    </w:rPr>
  </w:style>
  <w:style w:type="paragraph" w:customStyle="1" w:styleId="42">
    <w:name w:val="Default"/>
    <w:qFormat/>
    <w:uiPriority w:val="0"/>
    <w:pPr>
      <w:widowControl w:val="0"/>
      <w:autoSpaceDE w:val="0"/>
      <w:autoSpaceDN w:val="0"/>
      <w:adjustRightInd w:val="0"/>
      <w:spacing w:after="160" w:line="278" w:lineRule="auto"/>
    </w:pPr>
    <w:rPr>
      <w:rFonts w:ascii="方正小标宋简体" w:hAnsi="Calibri" w:eastAsia="方正小标宋简体" w:cs="方正小标宋简体"/>
      <w:color w:val="000000"/>
      <w:sz w:val="24"/>
      <w:szCs w:val="24"/>
      <w:lang w:val="en-US" w:eastAsia="zh-CN" w:bidi="ar-SA"/>
    </w:rPr>
  </w:style>
  <w:style w:type="character" w:customStyle="1" w:styleId="43">
    <w:name w:val="未处理的提及2"/>
    <w:basedOn w:val="16"/>
    <w:semiHidden/>
    <w:unhideWhenUsed/>
    <w:qFormat/>
    <w:uiPriority w:val="99"/>
    <w:rPr>
      <w:color w:val="605E5C"/>
      <w:shd w:val="clear" w:color="auto" w:fill="E1DFDD"/>
    </w:rPr>
  </w:style>
  <w:style w:type="character" w:customStyle="1" w:styleId="44">
    <w:name w:val="段 Char"/>
    <w:basedOn w:val="16"/>
    <w:link w:val="26"/>
    <w:qFormat/>
    <w:uiPriority w:val="0"/>
    <w:rPr>
      <w:rFonts w:ascii="宋体" w:hAnsi="Times New Roman" w:eastAsia="宋体" w:cs="Times New Roman"/>
      <w:kern w:val="0"/>
      <w:szCs w:val="20"/>
    </w:rPr>
  </w:style>
  <w:style w:type="character" w:customStyle="1" w:styleId="45">
    <w:name w:val="Heading 1 Char"/>
    <w:basedOn w:val="16"/>
    <w:link w:val="2"/>
    <w:qFormat/>
    <w:uiPriority w:val="9"/>
    <w:rPr>
      <w:rFonts w:asciiTheme="majorHAnsi" w:hAnsiTheme="majorHAnsi" w:eastAsiaTheme="majorEastAsia" w:cstheme="majorBidi"/>
      <w:color w:val="376092" w:themeColor="accent1" w:themeShade="BF"/>
      <w:kern w:val="2"/>
      <w:sz w:val="32"/>
      <w:szCs w:val="32"/>
    </w:rPr>
  </w:style>
  <w:style w:type="paragraph" w:customStyle="1" w:styleId="46">
    <w:name w:val="TOC Heading1"/>
    <w:basedOn w:val="2"/>
    <w:next w:val="1"/>
    <w:unhideWhenUsed/>
    <w:qFormat/>
    <w:uiPriority w:val="39"/>
    <w:pPr>
      <w:widowControl/>
      <w:spacing w:line="259" w:lineRule="auto"/>
      <w:jc w:val="left"/>
      <w:outlineLvl w:val="9"/>
    </w:pPr>
    <w:rPr>
      <w:kern w:val="0"/>
      <w:lang w:eastAsia="en-US"/>
    </w:rPr>
  </w:style>
  <w:style w:type="character" w:customStyle="1" w:styleId="47">
    <w:name w:val="Date Char"/>
    <w:basedOn w:val="16"/>
    <w:link w:val="8"/>
    <w:semiHidden/>
    <w:qFormat/>
    <w:uiPriority w:val="99"/>
    <w:rPr>
      <w:kern w:val="2"/>
      <w:sz w:val="21"/>
      <w:szCs w:val="22"/>
    </w:rPr>
  </w:style>
  <w:style w:type="character" w:customStyle="1" w:styleId="48">
    <w:name w:val="Unresolved Mention1"/>
    <w:basedOn w:val="16"/>
    <w:semiHidden/>
    <w:unhideWhenUsed/>
    <w:qFormat/>
    <w:uiPriority w:val="99"/>
    <w:rPr>
      <w:color w:val="605E5C"/>
      <w:shd w:val="clear" w:color="auto" w:fill="E1DFDD"/>
    </w:rPr>
  </w:style>
  <w:style w:type="paragraph" w:customStyle="1" w:styleId="49">
    <w:name w:val="_Style 13"/>
    <w:qFormat/>
    <w:uiPriority w:val="0"/>
    <w:pPr>
      <w:spacing w:before="120" w:after="120" w:line="288" w:lineRule="auto"/>
    </w:pPr>
    <w:rPr>
      <w:rFonts w:ascii="Arial" w:hAnsi="Arial" w:eastAsia="等线" w:cs="Arial"/>
      <w:sz w:val="22"/>
      <w:szCs w:val="22"/>
      <w:lang w:val="en-US" w:eastAsia="zh-CN" w:bidi="ar-SA"/>
    </w:rPr>
  </w:style>
  <w:style w:type="character" w:customStyle="1" w:styleId="50">
    <w:name w:val="Footnote Text Char"/>
    <w:basedOn w:val="16"/>
    <w:link w:val="13"/>
    <w:semiHidden/>
    <w:qFormat/>
    <w:uiPriority w:val="99"/>
    <w:rPr>
      <w:rFonts w:asciiTheme="minorHAnsi" w:hAnsiTheme="minorHAnsi" w:eastAsiaTheme="minorEastAsia" w:cstheme="minorBidi"/>
      <w:kern w:val="2"/>
    </w:rPr>
  </w:style>
  <w:style w:type="character" w:customStyle="1" w:styleId="51">
    <w:name w:val="Heading 3 Char"/>
    <w:basedOn w:val="16"/>
    <w:link w:val="3"/>
    <w:semiHidden/>
    <w:qFormat/>
    <w:uiPriority w:val="9"/>
    <w:rPr>
      <w:rFonts w:asciiTheme="minorHAnsi" w:hAnsiTheme="minorHAnsi" w:eastAsiaTheme="minorEastAsia" w:cstheme="minorBidi"/>
      <w:b/>
      <w:bCs/>
      <w:kern w:val="2"/>
      <w:sz w:val="32"/>
      <w:szCs w:val="32"/>
    </w:rPr>
  </w:style>
  <w:style w:type="paragraph" w:customStyle="1" w:styleId="52">
    <w:name w:val="Revision1"/>
    <w:hidden/>
    <w:unhideWhenUsed/>
    <w:qFormat/>
    <w:uiPriority w:val="99"/>
    <w:pPr>
      <w:spacing w:after="160" w:line="278" w:lineRule="auto"/>
    </w:pPr>
    <w:rPr>
      <w:rFonts w:asciiTheme="minorHAnsi" w:hAnsiTheme="minorHAnsi" w:eastAsiaTheme="minorEastAsia" w:cstheme="minorBidi"/>
      <w:kern w:val="2"/>
      <w:sz w:val="21"/>
      <w:szCs w:val="22"/>
      <w:lang w:val="en-US" w:eastAsia="zh-CN" w:bidi="ar-SA"/>
    </w:rPr>
  </w:style>
  <w:style w:type="paragraph" w:customStyle="1" w:styleId="53">
    <w:name w:val="Revision2"/>
    <w:hidden/>
    <w:unhideWhenUsed/>
    <w:qFormat/>
    <w:uiPriority w:val="99"/>
    <w:pPr>
      <w:spacing w:after="0" w:line="240" w:lineRule="auto"/>
    </w:pPr>
    <w:rPr>
      <w:rFonts w:asciiTheme="minorHAnsi" w:hAnsiTheme="minorHAnsi" w:eastAsiaTheme="minorEastAsia" w:cstheme="minorBidi"/>
      <w:kern w:val="2"/>
      <w:sz w:val="21"/>
      <w:szCs w:val="22"/>
      <w:lang w:val="en-US" w:eastAsia="zh-CN" w:bidi="ar-SA"/>
    </w:rPr>
  </w:style>
  <w:style w:type="character" w:customStyle="1" w:styleId="54">
    <w:name w:val="Comment Text Char"/>
    <w:basedOn w:val="16"/>
    <w:link w:val="5"/>
    <w:semiHidden/>
    <w:qFormat/>
    <w:uiPriority w:val="99"/>
    <w:rPr>
      <w:kern w:val="2"/>
      <w:sz w:val="21"/>
      <w:szCs w:val="22"/>
      <w:lang w:val="en-US"/>
    </w:rPr>
  </w:style>
  <w:style w:type="character" w:customStyle="1" w:styleId="55">
    <w:name w:val="Comment Subject Char"/>
    <w:basedOn w:val="54"/>
    <w:link w:val="4"/>
    <w:semiHidden/>
    <w:qFormat/>
    <w:uiPriority w:val="99"/>
    <w:rPr>
      <w:b/>
      <w:bCs/>
      <w:kern w:val="2"/>
      <w:sz w:val="21"/>
      <w:szCs w:val="22"/>
      <w:lang w:val="en-US"/>
    </w:rPr>
  </w:style>
  <w:style w:type="paragraph" w:customStyle="1" w:styleId="56">
    <w:name w:val="Revision"/>
    <w:hidden/>
    <w:unhideWhenUsed/>
    <w:uiPriority w:val="99"/>
    <w:pPr>
      <w:spacing w:after="0" w:line="240" w:lineRule="auto"/>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2.png"/><Relationship Id="rId13" Type="http://schemas.openxmlformats.org/officeDocument/2006/relationships/image" Target="media/image1.jpeg"/><Relationship Id="rId12" Type="http://schemas.openxmlformats.org/officeDocument/2006/relationships/theme" Target="theme/theme1.xml"/><Relationship Id="rId11" Type="http://schemas.openxmlformats.org/officeDocument/2006/relationships/footer" Target="foot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b:Source>
    <b:Tag>李雪；18</b:Tag>
    <b:SourceType>JournalArticle</b:SourceType>
    <b:Guid>{04C9D854-1E29-483A-8E8B-A477232B6C56}</b:Guid>
    <b:LCID>zh-CN</b:LCID>
    <b:Author>
      <b:Author>
        <b:NameList>
          <b:Person>
            <b:Last>李雪；郑淑梅；屈梅香</b:Last>
          </b:Person>
        </b:NameList>
      </b:Author>
    </b:Author>
    <b:Title>影像科碘对比剂输注安全专家共识</b:Title>
    <b:JournalName>介入放射学杂志</b:JournalName>
    <b:Year>2018</b:Year>
    <b:Pages>707-712</b:Pages>
    <b:Month>August</b:Month>
    <b:RefOrder>1</b:RefOrder>
  </b:Source>
</b:Sourc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7A50A29-FA67-E149-9375-D88D92A95EF7}">
  <ds:schemaRefs/>
</ds:datastoreItem>
</file>

<file path=docProps/app.xml><?xml version="1.0" encoding="utf-8"?>
<Properties xmlns="http://schemas.openxmlformats.org/officeDocument/2006/extended-properties" xmlns:vt="http://schemas.openxmlformats.org/officeDocument/2006/docPropsVTypes">
  <Template>Normal.dotm</Template>
  <Pages>16</Pages>
  <Words>1870</Words>
  <Characters>10665</Characters>
  <Lines>88</Lines>
  <Paragraphs>25</Paragraphs>
  <TotalTime>45</TotalTime>
  <ScaleCrop>false</ScaleCrop>
  <LinksUpToDate>false</LinksUpToDate>
  <CharactersWithSpaces>12510</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2026-01-26T02:19:00Z</dcterms:created>
  <dc:creator>fengxue</dc:creator>
  <cp:lastModifiedBy>明</cp:lastModifiedBy>
  <cp:lastPrinted>2022-01-12T06:40:00Z</cp:lastPrinted>
  <dcterms:modified xsi:type="dcterms:W3CDTF">2026-07-16T08:18:55Z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7561487DCA0940F0B9CD9B798B28FFD9_13</vt:lpwstr>
  </property>
  <property fmtid="{D5CDD505-2E9C-101B-9397-08002B2CF9AE}" pid="4" name="KSOTemplateDocerSaveRecord">
    <vt:lpwstr>eyJoZGlkIjoiMjk5MTQ5MTdiYmU4MDJhMjg2MmQ0ZWE5ZTE4NWQwNGQiLCJ1c2VySWQiOiIyMTI4MzQyOTAifQ==</vt:lpwstr>
  </property>
</Properties>
</file>