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AE0D3">
      <w:pPr>
        <w:rPr>
          <w:rFonts w:ascii="Times New Roman" w:hAnsi="Times New Roman" w:eastAsia="宋体" w:cs="Times New Roman"/>
          <w:szCs w:val="20"/>
        </w:rPr>
      </w:pPr>
    </w:p>
    <w:p w14:paraId="1CF05E15">
      <w:pPr>
        <w:spacing w:line="400" w:lineRule="exact"/>
        <w:ind w:firstLine="0" w:firstLineChars="0"/>
        <w:jc w:val="left"/>
        <w:rPr>
          <w:rFonts w:hint="eastAsia" w:ascii="仿宋" w:hAnsi="宋体" w:eastAsia="仿宋"/>
          <w:sz w:val="28"/>
          <w:szCs w:val="28"/>
          <w:highlight w:val="none"/>
        </w:rPr>
      </w:pPr>
      <w:r>
        <w:rPr>
          <w:rFonts w:hint="eastAsia" w:ascii="仿宋" w:hAnsi="宋体" w:eastAsia="仿宋"/>
          <w:sz w:val="28"/>
          <w:szCs w:val="28"/>
          <w:highlight w:val="none"/>
        </w:rPr>
        <w:t>I</w:t>
      </w:r>
      <w:r>
        <w:rPr>
          <w:rFonts w:ascii="仿宋" w:hAnsi="宋体" w:eastAsia="仿宋"/>
          <w:sz w:val="28"/>
          <w:szCs w:val="28"/>
          <w:highlight w:val="none"/>
        </w:rPr>
        <w:t>CS</w:t>
      </w:r>
      <w:r>
        <w:rPr>
          <w:rFonts w:hint="eastAsia" w:ascii="仿宋" w:hAnsi="宋体" w:eastAsia="仿宋"/>
          <w:sz w:val="28"/>
          <w:szCs w:val="28"/>
          <w:highlight w:val="none"/>
        </w:rPr>
        <w:t>号</w:t>
      </w:r>
    </w:p>
    <w:p w14:paraId="28D33B5E">
      <w:pPr>
        <w:spacing w:line="400" w:lineRule="exact"/>
        <w:ind w:firstLine="0" w:firstLineChars="0"/>
        <w:jc w:val="left"/>
        <w:rPr>
          <w:rFonts w:hint="eastAsia" w:ascii="仿宋" w:hAnsi="宋体" w:eastAsia="仿宋"/>
          <w:sz w:val="28"/>
          <w:szCs w:val="28"/>
          <w:highlight w:val="none"/>
        </w:rPr>
      </w:pPr>
      <w:r>
        <w:rPr>
          <w:rFonts w:hint="eastAsia" w:ascii="仿宋" w:hAnsi="宋体" w:eastAsia="仿宋"/>
          <w:sz w:val="28"/>
          <w:szCs w:val="28"/>
          <w:highlight w:val="none"/>
        </w:rPr>
        <w:t>中国标准文献分类号</w:t>
      </w:r>
    </w:p>
    <w:p w14:paraId="08D5713D">
      <w:pPr>
        <w:spacing w:before="312" w:beforeLines="100" w:after="312" w:afterLines="100"/>
        <w:ind w:firstLine="0" w:firstLineChars="0"/>
        <w:jc w:val="center"/>
        <w:rPr>
          <w:rFonts w:hint="eastAsia" w:ascii="宋体" w:hAnsi="宋体"/>
          <w:sz w:val="96"/>
          <w:szCs w:val="28"/>
          <w:highlight w:val="none"/>
        </w:rPr>
      </w:pPr>
      <w:r>
        <w:rPr>
          <w:rFonts w:hint="eastAsia" w:ascii="宋体" w:hAnsi="宋体"/>
          <w:sz w:val="96"/>
          <w:szCs w:val="28"/>
          <w:highlight w:val="none"/>
        </w:rPr>
        <w:t xml:space="preserve">团 </w:t>
      </w:r>
      <w:r>
        <w:rPr>
          <w:rFonts w:ascii="宋体" w:hAnsi="宋体"/>
          <w:sz w:val="96"/>
          <w:szCs w:val="28"/>
          <w:highlight w:val="none"/>
        </w:rPr>
        <w:t xml:space="preserve"> </w:t>
      </w:r>
      <w:r>
        <w:rPr>
          <w:rFonts w:hint="eastAsia" w:ascii="宋体" w:hAnsi="宋体"/>
          <w:sz w:val="96"/>
          <w:szCs w:val="28"/>
          <w:highlight w:val="none"/>
        </w:rPr>
        <w:t xml:space="preserve">体 </w:t>
      </w:r>
      <w:r>
        <w:rPr>
          <w:rFonts w:ascii="宋体" w:hAnsi="宋体"/>
          <w:sz w:val="96"/>
          <w:szCs w:val="28"/>
          <w:highlight w:val="none"/>
        </w:rPr>
        <w:t xml:space="preserve"> </w:t>
      </w:r>
      <w:r>
        <w:rPr>
          <w:rFonts w:hint="eastAsia" w:ascii="宋体" w:hAnsi="宋体"/>
          <w:sz w:val="96"/>
          <w:szCs w:val="28"/>
          <w:highlight w:val="none"/>
        </w:rPr>
        <w:t xml:space="preserve">标 </w:t>
      </w:r>
      <w:r>
        <w:rPr>
          <w:rFonts w:ascii="宋体" w:hAnsi="宋体"/>
          <w:sz w:val="96"/>
          <w:szCs w:val="28"/>
          <w:highlight w:val="none"/>
        </w:rPr>
        <w:t xml:space="preserve"> </w:t>
      </w:r>
      <w:r>
        <w:rPr>
          <w:rFonts w:hint="eastAsia" w:ascii="宋体" w:hAnsi="宋体"/>
          <w:sz w:val="96"/>
          <w:szCs w:val="28"/>
          <w:highlight w:val="none"/>
        </w:rPr>
        <w:t>准</w:t>
      </w:r>
    </w:p>
    <w:p w14:paraId="328CEB9F">
      <w:pPr>
        <w:ind w:firstLine="440"/>
        <w:jc w:val="right"/>
        <w:rPr>
          <w:rFonts w:hint="eastAsia" w:ascii="黑体" w:hAnsi="黑体" w:eastAsia="黑体"/>
          <w:sz w:val="22"/>
          <w:szCs w:val="28"/>
          <w:highlight w:val="none"/>
        </w:rPr>
      </w:pPr>
      <w:r>
        <w:rPr>
          <w:rFonts w:hint="eastAsia" w:ascii="黑体" w:hAnsi="黑体" w:eastAsia="黑体"/>
          <w:sz w:val="22"/>
          <w:szCs w:val="28"/>
          <w:highlight w:val="none"/>
        </w:rPr>
        <w:t>团体标准编号T</w:t>
      </w:r>
      <w:r>
        <w:rPr>
          <w:rFonts w:ascii="黑体" w:hAnsi="黑体" w:eastAsia="黑体"/>
          <w:sz w:val="22"/>
          <w:szCs w:val="28"/>
          <w:highlight w:val="none"/>
        </w:rPr>
        <w:t>/</w:t>
      </w:r>
      <w:r>
        <w:rPr>
          <w:rFonts w:hint="eastAsia" w:ascii="黑体" w:hAnsi="黑体" w:eastAsia="黑体"/>
          <w:sz w:val="22"/>
          <w:szCs w:val="28"/>
          <w:highlight w:val="none"/>
        </w:rPr>
        <w:t>BRA-CDCHE</w:t>
      </w:r>
      <w:r>
        <w:rPr>
          <w:rFonts w:hint="eastAsia"/>
          <w:highlight w:val="none"/>
        </w:rPr>
        <w:t>/</w:t>
      </w:r>
      <w:r>
        <w:rPr>
          <w:rFonts w:ascii="黑体" w:hAnsi="黑体" w:eastAsia="黑体"/>
          <w:sz w:val="22"/>
          <w:szCs w:val="28"/>
          <w:highlight w:val="none"/>
        </w:rPr>
        <w:t xml:space="preserve"> XXXX-XXXX</w:t>
      </w:r>
    </w:p>
    <w:p w14:paraId="22B09290">
      <w:pPr>
        <w:ind w:firstLine="440"/>
        <w:jc w:val="center"/>
        <w:rPr>
          <w:rFonts w:hint="eastAsia" w:ascii="黑体" w:hAnsi="黑体" w:eastAsia="黑体"/>
          <w:sz w:val="22"/>
          <w:szCs w:val="28"/>
          <w:highlight w:val="none"/>
        </w:rPr>
      </w:pPr>
      <w:r>
        <w:rPr>
          <w:rFonts w:hint="eastAsia" w:ascii="黑体" w:hAnsi="黑体" w:eastAsia="黑体"/>
          <w:sz w:val="22"/>
          <w:szCs w:val="28"/>
          <w:highlight w:val="none"/>
        </w:rPr>
        <w:t xml:space="preserve">                                   代替的团体标准编号（修订填写）</w:t>
      </w:r>
    </w:p>
    <w:p w14:paraId="49272775">
      <w:pPr>
        <w:spacing w:line="240" w:lineRule="exact"/>
        <w:ind w:firstLine="0" w:firstLineChars="0"/>
        <w:jc w:val="left"/>
        <w:rPr>
          <w:rFonts w:hint="eastAsia" w:ascii="宋体" w:hAnsi="宋体"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sz w:val="28"/>
          <w:szCs w:val="28"/>
          <w:highlight w:val="none"/>
          <w:u w:val="single"/>
        </w:rPr>
        <w:t xml:space="preserve"> </w:t>
      </w:r>
      <w:r>
        <w:rPr>
          <w:rFonts w:ascii="宋体" w:hAnsi="宋体"/>
          <w:sz w:val="28"/>
          <w:szCs w:val="28"/>
          <w:highlight w:val="none"/>
          <w:u w:val="single"/>
        </w:rPr>
        <w:t xml:space="preserve">                                                          </w:t>
      </w:r>
    </w:p>
    <w:p w14:paraId="33720FA5">
      <w:pPr>
        <w:ind w:firstLine="560"/>
        <w:jc w:val="left"/>
        <w:rPr>
          <w:rFonts w:hint="eastAsia" w:ascii="宋体" w:hAnsi="宋体"/>
          <w:sz w:val="28"/>
          <w:szCs w:val="28"/>
          <w:highlight w:val="none"/>
        </w:rPr>
      </w:pPr>
    </w:p>
    <w:p w14:paraId="28F61E0E">
      <w:pPr>
        <w:ind w:firstLine="560"/>
        <w:jc w:val="left"/>
        <w:rPr>
          <w:rFonts w:hint="eastAsia" w:ascii="宋体" w:hAnsi="宋体"/>
          <w:sz w:val="28"/>
          <w:szCs w:val="28"/>
          <w:highlight w:val="none"/>
        </w:rPr>
      </w:pPr>
    </w:p>
    <w:p w14:paraId="548E7215">
      <w:pPr>
        <w:ind w:firstLine="560"/>
        <w:jc w:val="left"/>
        <w:rPr>
          <w:rFonts w:hint="eastAsia" w:ascii="宋体" w:hAnsi="宋体"/>
          <w:sz w:val="28"/>
          <w:szCs w:val="28"/>
          <w:highlight w:val="none"/>
        </w:rPr>
      </w:pPr>
    </w:p>
    <w:p w14:paraId="504C8E38">
      <w:pPr>
        <w:ind w:firstLine="560"/>
        <w:jc w:val="left"/>
        <w:rPr>
          <w:rFonts w:hint="eastAsia" w:ascii="宋体" w:hAnsi="宋体"/>
          <w:sz w:val="28"/>
          <w:szCs w:val="28"/>
          <w:highlight w:val="none"/>
        </w:rPr>
      </w:pPr>
    </w:p>
    <w:p w14:paraId="264F2762">
      <w:pPr>
        <w:ind w:firstLine="0" w:firstLineChars="0"/>
        <w:jc w:val="center"/>
        <w:rPr>
          <w:rFonts w:hint="eastAsia" w:ascii="黑体" w:hAnsi="黑体" w:eastAsia="黑体"/>
          <w:sz w:val="52"/>
          <w:szCs w:val="28"/>
          <w:highlight w:val="none"/>
          <w:lang w:val="en-US" w:eastAsia="zh-CN"/>
        </w:rPr>
      </w:pPr>
      <w:r>
        <w:rPr>
          <w:rFonts w:hint="eastAsia" w:ascii="黑体" w:hAnsi="黑体" w:eastAsia="黑体"/>
          <w:sz w:val="52"/>
          <w:szCs w:val="28"/>
          <w:highlight w:val="none"/>
          <w:lang w:val="en-US" w:eastAsia="zh-CN"/>
        </w:rPr>
        <w:t>慢性肾脏病</w:t>
      </w:r>
      <w:r>
        <w:rPr>
          <w:rFonts w:hint="eastAsia" w:ascii="黑体" w:hAnsi="黑体" w:eastAsia="黑体"/>
          <w:sz w:val="52"/>
          <w:szCs w:val="28"/>
          <w:highlight w:val="none"/>
        </w:rPr>
        <w:t>3～4期脾肾气阴两虚证</w:t>
      </w:r>
      <w:r>
        <w:rPr>
          <w:rFonts w:hint="eastAsia" w:ascii="黑体" w:hAnsi="黑体" w:eastAsia="黑体"/>
          <w:sz w:val="52"/>
          <w:szCs w:val="28"/>
          <w:highlight w:val="none"/>
          <w:lang w:val="en-US" w:eastAsia="zh-CN"/>
        </w:rPr>
        <w:t>中医证候</w:t>
      </w:r>
      <w:r>
        <w:rPr>
          <w:rFonts w:hint="eastAsia" w:ascii="黑体" w:hAnsi="黑体" w:eastAsia="黑体"/>
          <w:sz w:val="52"/>
          <w:szCs w:val="28"/>
          <w:highlight w:val="none"/>
        </w:rPr>
        <w:t>诊断</w:t>
      </w:r>
      <w:r>
        <w:rPr>
          <w:rFonts w:hint="eastAsia" w:ascii="黑体" w:hAnsi="黑体" w:eastAsia="黑体"/>
          <w:sz w:val="52"/>
          <w:szCs w:val="28"/>
          <w:highlight w:val="none"/>
          <w:lang w:val="en-US" w:eastAsia="zh-CN"/>
        </w:rPr>
        <w:t>规范</w:t>
      </w:r>
    </w:p>
    <w:p w14:paraId="4691E11E">
      <w:pPr>
        <w:ind w:firstLine="0" w:firstLineChars="0"/>
        <w:jc w:val="center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等线" w:hAnsi="等线" w:eastAsia="等线"/>
          <w:sz w:val="28"/>
          <w:szCs w:val="28"/>
          <w:highlight w:val="none"/>
        </w:rPr>
        <w:t xml:space="preserve">Diagnostic Scale </w:t>
      </w:r>
      <w:r>
        <w:rPr>
          <w:rFonts w:hint="eastAsia" w:ascii="等线" w:hAnsi="等线" w:eastAsia="等线"/>
          <w:sz w:val="28"/>
          <w:szCs w:val="28"/>
          <w:highlight w:val="none"/>
          <w:lang w:val="en-US" w:eastAsia="zh-CN"/>
        </w:rPr>
        <w:t>for</w:t>
      </w:r>
      <w:r>
        <w:rPr>
          <w:rFonts w:hint="eastAsia" w:ascii="等线" w:hAnsi="等线" w:eastAsia="等线"/>
          <w:sz w:val="28"/>
          <w:szCs w:val="28"/>
          <w:highlight w:val="none"/>
        </w:rPr>
        <w:t xml:space="preserve"> Spleen</w:t>
      </w:r>
      <w:r>
        <w:rPr>
          <w:rFonts w:hint="eastAsia" w:ascii="等线" w:hAnsi="等线" w:eastAsia="等线"/>
          <w:sz w:val="28"/>
          <w:szCs w:val="28"/>
          <w:highlight w:val="none"/>
          <w:lang w:val="en-US" w:eastAsia="zh-CN"/>
        </w:rPr>
        <w:t>-</w:t>
      </w:r>
      <w:r>
        <w:rPr>
          <w:rFonts w:hint="eastAsia" w:ascii="等线" w:hAnsi="等线" w:eastAsia="等线"/>
          <w:sz w:val="28"/>
          <w:szCs w:val="28"/>
          <w:highlight w:val="none"/>
        </w:rPr>
        <w:t>Kidney Qi and Yin Deficiency in CKD Stage 3-4</w:t>
      </w:r>
    </w:p>
    <w:p w14:paraId="0A4FC820">
      <w:pPr>
        <w:ind w:firstLine="560"/>
        <w:jc w:val="left"/>
        <w:rPr>
          <w:rFonts w:hint="eastAsia" w:ascii="宋体" w:hAnsi="宋体"/>
          <w:sz w:val="28"/>
          <w:szCs w:val="28"/>
          <w:highlight w:val="none"/>
        </w:rPr>
      </w:pPr>
    </w:p>
    <w:p w14:paraId="3E17990F">
      <w:pPr>
        <w:ind w:firstLine="0" w:firstLineChars="0"/>
        <w:jc w:val="left"/>
        <w:rPr>
          <w:rFonts w:hint="eastAsia" w:ascii="宋体" w:hAnsi="宋体"/>
          <w:sz w:val="28"/>
          <w:szCs w:val="28"/>
          <w:highlight w:val="none"/>
        </w:rPr>
      </w:pPr>
    </w:p>
    <w:p w14:paraId="701CE23D">
      <w:pPr>
        <w:ind w:firstLine="560"/>
        <w:jc w:val="left"/>
        <w:rPr>
          <w:rFonts w:hint="eastAsia" w:ascii="宋体" w:hAnsi="宋体"/>
          <w:sz w:val="28"/>
          <w:szCs w:val="28"/>
          <w:highlight w:val="none"/>
        </w:rPr>
      </w:pPr>
    </w:p>
    <w:p w14:paraId="728A3B07">
      <w:pPr>
        <w:jc w:val="left"/>
        <w:rPr>
          <w:rFonts w:hint="eastAsia" w:ascii="宋体" w:hAnsi="宋体"/>
          <w:sz w:val="28"/>
          <w:szCs w:val="28"/>
          <w:highlight w:val="none"/>
        </w:rPr>
      </w:pPr>
    </w:p>
    <w:p w14:paraId="29BE1EA9">
      <w:pPr>
        <w:jc w:val="left"/>
        <w:rPr>
          <w:rFonts w:hint="eastAsia" w:ascii="宋体" w:hAnsi="宋体"/>
          <w:sz w:val="28"/>
          <w:szCs w:val="28"/>
          <w:highlight w:val="none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XXXX</w:t>
      </w:r>
      <w:r>
        <w:rPr>
          <w:rFonts w:hint="eastAsia" w:ascii="宋体" w:hAnsi="宋体"/>
          <w:sz w:val="28"/>
          <w:szCs w:val="28"/>
          <w:highlight w:val="none"/>
        </w:rPr>
        <w:t>年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XX</w:t>
      </w:r>
      <w:r>
        <w:rPr>
          <w:rFonts w:hint="eastAsia" w:ascii="宋体" w:hAnsi="宋体"/>
          <w:sz w:val="28"/>
          <w:szCs w:val="28"/>
          <w:highlight w:val="none"/>
        </w:rPr>
        <w:t>月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XX</w:t>
      </w:r>
      <w:r>
        <w:rPr>
          <w:rFonts w:hint="eastAsia" w:ascii="宋体" w:hAnsi="宋体"/>
          <w:sz w:val="28"/>
          <w:szCs w:val="28"/>
          <w:highlight w:val="none"/>
        </w:rPr>
        <w:t xml:space="preserve">日 </w:t>
      </w:r>
      <w:r>
        <w:rPr>
          <w:rFonts w:ascii="宋体" w:hAnsi="宋体"/>
          <w:sz w:val="28"/>
          <w:szCs w:val="28"/>
          <w:highlight w:val="none"/>
        </w:rPr>
        <w:t xml:space="preserve">                </w:t>
      </w:r>
      <w:r>
        <w:rPr>
          <w:rFonts w:hint="eastAsia" w:ascii="宋体" w:hAnsi="宋体"/>
          <w:sz w:val="28"/>
          <w:szCs w:val="28"/>
          <w:highlight w:val="none"/>
        </w:rPr>
        <w:t xml:space="preserve"> 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XXXX</w:t>
      </w:r>
      <w:r>
        <w:rPr>
          <w:rFonts w:hint="eastAsia" w:ascii="宋体" w:hAnsi="宋体"/>
          <w:sz w:val="28"/>
          <w:szCs w:val="28"/>
          <w:highlight w:val="none"/>
        </w:rPr>
        <w:t>年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XX</w:t>
      </w:r>
      <w:r>
        <w:rPr>
          <w:rFonts w:hint="eastAsia" w:ascii="宋体" w:hAnsi="宋体"/>
          <w:sz w:val="28"/>
          <w:szCs w:val="28"/>
          <w:highlight w:val="none"/>
        </w:rPr>
        <w:t>月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XX</w:t>
      </w:r>
      <w:r>
        <w:rPr>
          <w:rFonts w:hint="eastAsia" w:ascii="宋体" w:hAnsi="宋体"/>
          <w:sz w:val="28"/>
          <w:szCs w:val="28"/>
          <w:highlight w:val="none"/>
        </w:rPr>
        <w:t>日实施</w:t>
      </w:r>
    </w:p>
    <w:p w14:paraId="675E3C37">
      <w:pPr>
        <w:ind w:firstLine="280" w:firstLineChars="100"/>
        <w:jc w:val="left"/>
        <w:rPr>
          <w:rFonts w:hint="eastAsia" w:ascii="宋体" w:hAnsi="宋体"/>
          <w:sz w:val="28"/>
          <w:szCs w:val="28"/>
          <w:highlight w:val="none"/>
          <w:u w:val="single"/>
        </w:rPr>
      </w:pPr>
      <w:r>
        <w:rPr>
          <w:rFonts w:hint="eastAsia" w:ascii="宋体" w:hAnsi="宋体"/>
          <w:sz w:val="28"/>
          <w:szCs w:val="28"/>
          <w:highlight w:val="none"/>
          <w:u w:val="single"/>
        </w:rPr>
        <w:t xml:space="preserve"> </w:t>
      </w:r>
      <w:r>
        <w:rPr>
          <w:rFonts w:ascii="宋体" w:hAnsi="宋体"/>
          <w:sz w:val="28"/>
          <w:szCs w:val="28"/>
          <w:highlight w:val="none"/>
          <w:u w:val="single"/>
        </w:rPr>
        <w:t xml:space="preserve">                                                          </w:t>
      </w:r>
    </w:p>
    <w:p w14:paraId="21C54324">
      <w:pPr>
        <w:ind w:firstLine="800"/>
        <w:jc w:val="center"/>
        <w:rPr>
          <w:rFonts w:hint="eastAsia" w:ascii="宋体" w:hAnsi="宋体" w:eastAsia="黑体"/>
          <w:sz w:val="28"/>
          <w:szCs w:val="28"/>
          <w:highlight w:val="none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sz w:val="36"/>
          <w:szCs w:val="24"/>
          <w:highlight w:val="none"/>
        </w:rPr>
        <w:t>北京慢性病防治与健康教育研究会</w:t>
      </w:r>
      <w:r>
        <w:rPr>
          <w:rFonts w:hint="eastAsia" w:ascii="宋体" w:hAnsi="宋体"/>
          <w:sz w:val="40"/>
          <w:szCs w:val="28"/>
          <w:highlight w:val="none"/>
        </w:rPr>
        <w:t xml:space="preserve"> </w:t>
      </w:r>
      <w:r>
        <w:rPr>
          <w:rFonts w:hint="eastAsia" w:ascii="黑体" w:hAnsi="黑体" w:eastAsia="黑体"/>
          <w:sz w:val="28"/>
          <w:szCs w:val="28"/>
          <w:highlight w:val="none"/>
        </w:rPr>
        <w:t>发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布</w:t>
      </w:r>
    </w:p>
    <w:p w14:paraId="7CC86CFE">
      <w:pPr>
        <w:pStyle w:val="20"/>
        <w:tabs>
          <w:tab w:val="left" w:pos="229"/>
          <w:tab w:val="center" w:pos="4215"/>
        </w:tabs>
        <w:jc w:val="left"/>
        <w:rPr>
          <w:rFonts w:hint="eastAsia" w:hAnsi="黑体" w:eastAsia="黑体"/>
          <w:b/>
          <w:bCs/>
          <w:lang w:val="en-US" w:eastAsia="zh-CN"/>
        </w:rPr>
      </w:pPr>
      <w:bookmarkStart w:id="0" w:name="_Toc509933846"/>
      <w:bookmarkStart w:id="1" w:name="_Toc510534525"/>
      <w:r>
        <w:rPr>
          <w:rFonts w:hint="eastAsia" w:hAnsi="黑体"/>
          <w:b/>
          <w:bCs/>
          <w:lang w:eastAsia="zh-CN"/>
        </w:rPr>
        <w:tab/>
      </w:r>
      <w:r>
        <w:rPr>
          <w:rFonts w:hint="eastAsia" w:hAnsi="黑体"/>
          <w:b/>
          <w:bCs/>
          <w:lang w:eastAsia="zh-CN"/>
        </w:rPr>
        <w:tab/>
      </w:r>
      <w:r>
        <w:rPr>
          <w:rFonts w:hint="eastAsia" w:hAnsi="黑体"/>
          <w:b/>
          <w:bCs/>
          <w:highlight w:val="none"/>
        </w:rPr>
        <w:t>目</w:t>
      </w:r>
      <w:bookmarkStart w:id="2" w:name="BKML"/>
      <w:r>
        <w:rPr>
          <w:rFonts w:hAnsi="黑体"/>
          <w:b/>
          <w:bCs/>
          <w:highlight w:val="none"/>
        </w:rPr>
        <w:t> </w:t>
      </w:r>
      <w:r>
        <w:rPr>
          <w:rFonts w:hint="eastAsia" w:hAnsi="黑体"/>
          <w:b/>
          <w:bCs/>
          <w:highlight w:val="none"/>
        </w:rPr>
        <w:t>次</w:t>
      </w:r>
      <w:bookmarkEnd w:id="0"/>
      <w:bookmarkEnd w:id="1"/>
      <w:bookmarkEnd w:id="2"/>
    </w:p>
    <w:p w14:paraId="4D95B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</w:pPr>
      <w:r>
        <w:rPr>
          <w:rFonts w:hint="eastAsia" w:ascii="宋体" w:hAnsi="宋体" w:eastAsia="宋体"/>
        </w:rPr>
        <w:t>前言……………………………………………………………………………………………</w:t>
      </w:r>
      <w:sdt>
        <w:sdtPr>
          <w:id w:val="654641993"/>
          <w:docPartObj>
            <w:docPartGallery w:val="autotext"/>
          </w:docPartObj>
        </w:sdtPr>
        <w:sdtContent>
          <w:r>
            <w:rPr>
              <w:rFonts w:hint="eastAsia" w:ascii="宋体" w:hAnsi="宋体" w:eastAsia="宋体"/>
            </w:rPr>
            <w:t>…</w:t>
          </w:r>
          <w:r>
            <w:rPr>
              <w:rFonts w:hint="eastAsia"/>
              <w:lang w:val="en-US" w:eastAsia="zh-CN"/>
            </w:rPr>
            <w:t>Ⅱ</w:t>
          </w:r>
        </w:sdtContent>
      </w:sdt>
    </w:p>
    <w:p w14:paraId="62310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引言………………………………………………………………………………………………</w:t>
      </w:r>
      <w:r>
        <w:rPr>
          <w:rFonts w:hint="eastAsia"/>
          <w:lang w:val="en-US" w:eastAsia="zh-CN"/>
        </w:rPr>
        <w:t>Ⅲ</w:t>
      </w:r>
    </w:p>
    <w:p w14:paraId="68ED5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</w:rPr>
        <w:t>1  范围……………………………………………………………………………………………</w:t>
      </w:r>
      <w:r>
        <w:rPr>
          <w:rFonts w:hint="eastAsia" w:ascii="宋体" w:hAnsi="宋体" w:eastAsia="宋体"/>
          <w:lang w:val="en-US" w:eastAsia="zh-CN"/>
        </w:rPr>
        <w:t>1</w:t>
      </w:r>
    </w:p>
    <w:p w14:paraId="6A2F1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</w:rPr>
        <w:t>2  规范性引用文件………………………………………………………………………………</w:t>
      </w:r>
      <w:r>
        <w:rPr>
          <w:rFonts w:hint="eastAsia" w:ascii="宋体" w:hAnsi="宋体" w:eastAsia="宋体"/>
          <w:lang w:val="en-US" w:eastAsia="zh-CN"/>
        </w:rPr>
        <w:t>1</w:t>
      </w:r>
    </w:p>
    <w:p w14:paraId="10012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</w:rPr>
        <w:t>3  术语和定义……………………………………………………………………………………</w:t>
      </w:r>
      <w:r>
        <w:rPr>
          <w:rFonts w:hint="eastAsia" w:ascii="宋体" w:hAnsi="宋体" w:eastAsia="宋体"/>
          <w:lang w:val="en-US" w:eastAsia="zh-CN"/>
        </w:rPr>
        <w:t>1</w:t>
      </w:r>
    </w:p>
    <w:p w14:paraId="5D497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/>
          <w:lang w:val="en-US" w:eastAsia="zh-CN"/>
        </w:rPr>
      </w:pPr>
      <w:r>
        <w:rPr>
          <w:rFonts w:ascii="宋体" w:hAnsi="宋体" w:eastAsia="宋体"/>
        </w:rPr>
        <w:t xml:space="preserve">4 </w:t>
      </w:r>
      <w:r>
        <w:rPr>
          <w:rFonts w:hint="eastAsia" w:ascii="宋体" w:hAnsi="宋体" w:eastAsia="宋体"/>
          <w:lang w:val="en-US" w:eastAsia="zh-CN"/>
        </w:rPr>
        <w:t xml:space="preserve"> 慢性肾脏病3～4期脾肾气阴两虚证中医证候诊断规范 </w:t>
      </w:r>
      <w:r>
        <w:rPr>
          <w:rFonts w:ascii="宋体" w:hAnsi="宋体" w:eastAsia="宋体"/>
        </w:rPr>
        <w:t>…………………………………</w:t>
      </w:r>
      <w:r>
        <w:rPr>
          <w:rFonts w:hint="eastAsia" w:ascii="宋体" w:hAnsi="宋体" w:eastAsia="宋体"/>
          <w:lang w:val="en-US" w:eastAsia="zh-CN"/>
        </w:rPr>
        <w:t>2</w:t>
      </w:r>
    </w:p>
    <w:p w14:paraId="604AA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</w:rPr>
        <w:t>附录A</w:t>
      </w:r>
      <w:r>
        <w:rPr>
          <w:rFonts w:hint="eastAsia" w:ascii="宋体" w:hAnsi="宋体" w:eastAsia="宋体"/>
          <w:lang w:val="en-US" w:eastAsia="zh-CN"/>
        </w:rPr>
        <w:t xml:space="preserve"> （资料性）慢性肾脏病3～4期脾肾气阴两虚证诊断量表 </w:t>
      </w:r>
      <w:r>
        <w:rPr>
          <w:rFonts w:hint="eastAsia" w:ascii="宋体" w:hAnsi="宋体" w:eastAsia="宋体"/>
        </w:rPr>
        <w:t>…………………………</w:t>
      </w:r>
      <w:r>
        <w:rPr>
          <w:rFonts w:hint="eastAsia" w:ascii="宋体" w:hAnsi="宋体" w:eastAsia="宋体"/>
          <w:lang w:val="en-US" w:eastAsia="zh-CN"/>
        </w:rPr>
        <w:t>5</w:t>
      </w:r>
    </w:p>
    <w:p w14:paraId="3E0A0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</w:rPr>
        <w:t>参考文献</w:t>
      </w:r>
      <w:r>
        <w:rPr>
          <w:rFonts w:hint="eastAsia" w:ascii="宋体" w:hAnsi="宋体" w:eastAsia="宋体"/>
          <w:lang w:val="en-US" w:eastAsia="zh-CN"/>
        </w:rPr>
        <w:t xml:space="preserve"> </w:t>
      </w:r>
      <w:r>
        <w:rPr>
          <w:rFonts w:hint="eastAsia" w:ascii="宋体" w:hAnsi="宋体" w:eastAsia="宋体"/>
        </w:rPr>
        <w:t>…………………………………………………………………………………………</w:t>
      </w:r>
      <w:r>
        <w:rPr>
          <w:rFonts w:hint="eastAsia" w:ascii="宋体" w:hAnsi="宋体" w:eastAsia="宋体"/>
          <w:lang w:val="en-US" w:eastAsia="zh-CN"/>
        </w:rPr>
        <w:t>6</w:t>
      </w:r>
    </w:p>
    <w:p w14:paraId="60421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/>
        </w:rPr>
      </w:pPr>
    </w:p>
    <w:p w14:paraId="5CA9299C"/>
    <w:p w14:paraId="5BB11C9B">
      <w:pPr>
        <w:ind w:firstLine="420" w:firstLineChars="200"/>
      </w:pPr>
      <w:r>
        <w:br w:type="page"/>
      </w:r>
    </w:p>
    <w:p w14:paraId="0F9BC026">
      <w:pPr>
        <w:pStyle w:val="16"/>
        <w:spacing w:line="360" w:lineRule="exact"/>
        <w:ind w:firstLine="420"/>
        <w:rPr>
          <w:rFonts w:hint="eastAsia" w:ascii="Times New Roman"/>
        </w:rPr>
      </w:pPr>
    </w:p>
    <w:p w14:paraId="0A3AE000">
      <w:pPr>
        <w:pStyle w:val="16"/>
        <w:spacing w:line="360" w:lineRule="exact"/>
        <w:ind w:left="0" w:leftChars="0" w:firstLine="0" w:firstLineChars="0"/>
        <w:jc w:val="center"/>
        <w:rPr>
          <w:rFonts w:hint="eastAsia" w:ascii="Times New Roman"/>
        </w:rPr>
      </w:pPr>
      <w:r>
        <w:rPr>
          <w:rFonts w:hint="eastAsia" w:ascii="黑体" w:eastAsia="黑体"/>
          <w:b/>
          <w:bCs/>
          <w:sz w:val="32"/>
        </w:rPr>
        <w:t>前  言</w:t>
      </w:r>
    </w:p>
    <w:p w14:paraId="1453D47B">
      <w:pPr>
        <w:pStyle w:val="16"/>
        <w:spacing w:line="360" w:lineRule="exact"/>
        <w:ind w:firstLine="420"/>
        <w:rPr>
          <w:rFonts w:hint="eastAsia" w:ascii="Times New Roman"/>
        </w:rPr>
      </w:pPr>
    </w:p>
    <w:p w14:paraId="1B904A8B">
      <w:pPr>
        <w:pStyle w:val="16"/>
        <w:spacing w:line="360" w:lineRule="exact"/>
        <w:ind w:firstLine="420"/>
        <w:rPr>
          <w:rFonts w:hint="eastAsia" w:ascii="Times New Roman"/>
        </w:rPr>
      </w:pPr>
    </w:p>
    <w:p w14:paraId="7BECBD67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20"/>
        <w:textAlignment w:val="auto"/>
        <w:rPr>
          <w:rFonts w:hint="eastAsia" w:ascii="Times New Roman"/>
        </w:rPr>
      </w:pPr>
      <w:r>
        <w:rPr>
          <w:rFonts w:hint="eastAsia" w:ascii="Times New Roman"/>
        </w:rPr>
        <w:t>本文件参照GB/T1.1—20</w:t>
      </w:r>
      <w:r>
        <w:rPr>
          <w:rFonts w:ascii="Times New Roman"/>
        </w:rPr>
        <w:t>20</w:t>
      </w:r>
      <w:r>
        <w:rPr>
          <w:rFonts w:hint="eastAsia" w:ascii="Times New Roman"/>
        </w:rPr>
        <w:t>《标准化工作导则 第1部分：标准化文件的结构和起草规则》的规定起草。</w:t>
      </w:r>
    </w:p>
    <w:p w14:paraId="0D846FA6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20"/>
        <w:textAlignment w:val="auto"/>
        <w:rPr>
          <w:rFonts w:hint="eastAsia" w:ascii="Times New Roman"/>
        </w:rPr>
      </w:pPr>
      <w:r>
        <w:rPr>
          <w:rFonts w:hint="eastAsia" w:ascii="Times New Roman"/>
          <w:color w:val="auto"/>
        </w:rPr>
        <w:t>请注意本文件的某些内容可能涉及专利。本文件的发布机构不承担识别专利的责任。</w:t>
      </w:r>
    </w:p>
    <w:p w14:paraId="7C6142DA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20"/>
        <w:textAlignment w:val="auto"/>
        <w:rPr>
          <w:rFonts w:ascii="Times New Roman"/>
        </w:rPr>
      </w:pPr>
      <w:r>
        <w:rPr>
          <w:rFonts w:hint="eastAsia" w:ascii="Times New Roman"/>
        </w:rPr>
        <w:t>本文件由中国中医科学院广安门医院提出。</w:t>
      </w:r>
    </w:p>
    <w:p w14:paraId="009AE2E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20"/>
        <w:textAlignment w:val="auto"/>
        <w:rPr>
          <w:rFonts w:ascii="Times New Roman"/>
        </w:rPr>
      </w:pPr>
      <w:r>
        <w:rPr>
          <w:rFonts w:hint="eastAsia" w:ascii="Times New Roman"/>
        </w:rPr>
        <w:t>本文件由</w:t>
      </w:r>
      <w:r>
        <w:rPr>
          <w:rFonts w:hint="eastAsia" w:ascii="Times New Roman"/>
          <w:lang w:val="en-US" w:eastAsia="zh-CN"/>
        </w:rPr>
        <w:t>北京慢性病防治与健康教育研究会</w:t>
      </w:r>
      <w:r>
        <w:rPr>
          <w:rFonts w:hint="eastAsia" w:ascii="Times New Roman"/>
        </w:rPr>
        <w:t>归口。</w:t>
      </w:r>
    </w:p>
    <w:p w14:paraId="5C0C5DE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20"/>
        <w:textAlignment w:val="auto"/>
        <w:rPr>
          <w:rFonts w:hint="default" w:ascii="Times New Roman" w:eastAsia="宋体"/>
          <w:highlight w:val="none"/>
          <w:lang w:val="en-US" w:eastAsia="zh-CN"/>
        </w:rPr>
      </w:pPr>
      <w:r>
        <w:rPr>
          <w:rFonts w:hint="eastAsia" w:ascii="Times New Roman"/>
          <w:highlight w:val="none"/>
        </w:rPr>
        <w:t>本文件起草单位：</w:t>
      </w:r>
      <w:r>
        <w:rPr>
          <w:rFonts w:hint="eastAsia" w:ascii="Times New Roman"/>
          <w:highlight w:val="none"/>
          <w:lang w:val="en-US" w:eastAsia="zh-CN"/>
        </w:rPr>
        <w:t>中国中医科学院广安门医院、</w:t>
      </w:r>
      <w:r>
        <w:rPr>
          <w:rFonts w:hint="eastAsia" w:hAnsi="宋体"/>
          <w:highlight w:val="none"/>
        </w:rPr>
        <w:t>中国中医科学院西苑医院</w:t>
      </w:r>
      <w:r>
        <w:rPr>
          <w:rFonts w:hint="eastAsia" w:hAnsi="宋体"/>
          <w:highlight w:val="none"/>
          <w:lang w:eastAsia="zh-CN"/>
        </w:rPr>
        <w:t>、</w:t>
      </w:r>
      <w:r>
        <w:rPr>
          <w:rFonts w:hint="eastAsia" w:hAnsi="宋体"/>
          <w:highlight w:val="none"/>
        </w:rPr>
        <w:t>首都医科大学附属北京中医医院</w:t>
      </w:r>
      <w:r>
        <w:rPr>
          <w:rFonts w:hint="eastAsia" w:hAnsi="宋体"/>
          <w:highlight w:val="none"/>
          <w:lang w:eastAsia="zh-CN"/>
        </w:rPr>
        <w:t>、长春中医药大学附属医院、北京中医药大学房山医院、北京中医药大学东方医院、上海中医药大学附属龙华医院、北京中西医结合医院、宁夏医科大学附属银川市中医医院、内蒙古自治区呼伦贝尔市中蒙医院、鄂尔多斯市中医医院。</w:t>
      </w:r>
    </w:p>
    <w:p w14:paraId="51F84461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20"/>
        <w:textAlignment w:val="auto"/>
        <w:rPr>
          <w:rFonts w:hint="default" w:ascii="Times New Roman"/>
          <w:highlight w:val="none"/>
          <w:lang w:val="en-US" w:eastAsia="zh-CN"/>
        </w:rPr>
      </w:pPr>
      <w:r>
        <w:rPr>
          <w:rFonts w:hint="eastAsia" w:ascii="Times New Roman"/>
          <w:highlight w:val="none"/>
        </w:rPr>
        <w:t>本文件主要起草人：</w:t>
      </w:r>
      <w:r>
        <w:rPr>
          <w:rFonts w:hint="eastAsia" w:ascii="Times New Roman"/>
          <w:highlight w:val="none"/>
          <w:lang w:val="en-US" w:eastAsia="zh-CN"/>
        </w:rPr>
        <w:t>韩东彦、余仁欢、徐建龙、赵文景、张守琳、占永立。</w:t>
      </w:r>
    </w:p>
    <w:p w14:paraId="6A98652D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20"/>
        <w:textAlignment w:val="auto"/>
        <w:rPr>
          <w:rFonts w:hAnsi="宋体"/>
          <w:highlight w:val="none"/>
        </w:rPr>
      </w:pPr>
      <w:r>
        <w:rPr>
          <w:rFonts w:hint="eastAsia" w:ascii="Times New Roman"/>
          <w:highlight w:val="none"/>
          <w:lang w:val="en-US" w:eastAsia="zh-CN"/>
        </w:rPr>
        <w:t>本文件其他起草人：孔令新、李爱峰、秦建国、刘文军、钟逸斐、尚丽丽、宋丽、李红、董爱玲、张文华、张莉、乔雪枫、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包崑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赵代鑫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童安荣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张先闻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党毓起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孟元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王宏安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邹</w:t>
      </w:r>
      <w:r>
        <w:rPr>
          <w:rFonts w:hint="eastAsia" w:ascii="Times New Roman" w:hAnsi="Times New Roman" w:cs="宋体"/>
          <w:b w:val="0"/>
          <w:color w:val="000000"/>
          <w:kern w:val="0"/>
          <w:sz w:val="21"/>
          <w:szCs w:val="21"/>
          <w:lang w:val="en-US" w:eastAsia="zh-CN" w:bidi="ar"/>
        </w:rPr>
        <w:t>迪、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邱模炎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王绍华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张文华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黎创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沈存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崔成姬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付艳艳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王艳云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白东海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潘峰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陈万佳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李交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王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剑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飞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陈煜</w:t>
      </w:r>
      <w:r>
        <w:rPr>
          <w:rFonts w:hint="eastAsia" w:ascii="Times New Roman" w:hAnsi="Times New Roman" w:eastAsia="宋体" w:cs="宋体"/>
          <w:b w:val="0"/>
          <w:color w:val="000000"/>
          <w:kern w:val="0"/>
          <w:sz w:val="21"/>
          <w:szCs w:val="21"/>
          <w:lang w:val="en-US" w:eastAsia="zh-CN" w:bidi="ar"/>
        </w:rPr>
        <w:t>、</w:t>
      </w:r>
      <w:r>
        <w:rPr>
          <w:rFonts w:hint="eastAsia" w:ascii="Times New Roman"/>
          <w:highlight w:val="none"/>
          <w:lang w:val="en-US" w:eastAsia="zh-CN"/>
        </w:rPr>
        <w:t>冒慧敏。</w:t>
      </w:r>
    </w:p>
    <w:p w14:paraId="153476BB">
      <w:pPr>
        <w:pStyle w:val="16"/>
        <w:ind w:firstLine="420"/>
        <w:rPr>
          <w:rFonts w:hAnsi="宋体"/>
        </w:rPr>
      </w:pPr>
    </w:p>
    <w:p w14:paraId="245D7629">
      <w:pPr>
        <w:pStyle w:val="16"/>
        <w:ind w:firstLine="420"/>
      </w:pPr>
      <w:r>
        <w:br w:type="page"/>
      </w:r>
    </w:p>
    <w:p w14:paraId="730F32EA">
      <w:pPr>
        <w:pStyle w:val="23"/>
        <w:rPr>
          <w:rFonts w:hAnsi="宋体"/>
          <w:i/>
          <w:color w:val="0070C0"/>
          <w:szCs w:val="21"/>
        </w:rPr>
      </w:pPr>
      <w:bookmarkStart w:id="3" w:name="_Toc509933847"/>
      <w:bookmarkStart w:id="4" w:name="_Toc436205034"/>
      <w:bookmarkStart w:id="5" w:name="_Toc510534526"/>
      <w:r>
        <w:rPr>
          <w:rFonts w:hint="eastAsia"/>
          <w:b/>
          <w:bCs/>
        </w:rPr>
        <w:t>引</w:t>
      </w:r>
      <w:bookmarkStart w:id="6" w:name="BKYY"/>
      <w:r>
        <w:rPr>
          <w:b/>
          <w:bCs/>
        </w:rPr>
        <w:t> </w:t>
      </w:r>
      <w:r>
        <w:rPr>
          <w:rFonts w:hint="eastAsia"/>
          <w:b/>
          <w:bCs/>
        </w:rPr>
        <w:t>言</w:t>
      </w:r>
      <w:bookmarkEnd w:id="3"/>
      <w:bookmarkEnd w:id="4"/>
      <w:bookmarkEnd w:id="5"/>
      <w:bookmarkEnd w:id="6"/>
    </w:p>
    <w:p w14:paraId="330A3D2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</w:rPr>
        <w:t>慢性肾脏病（chronic kidney disease, CKD）是指肾脏结构或功能异常持续3个月以上的疾病。全球疾病负担研究显示，2017年全球CKD患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val="en-US" w:eastAsia="zh-CN"/>
        </w:rPr>
        <w:t>病率为9.1%，我国CKD患者约有1.32亿。CKD已成为全球范围内危害人类健康的重要公共卫生问题。</w:t>
      </w:r>
    </w:p>
    <w:p w14:paraId="7417AA30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val="en-US" w:eastAsia="zh-CN"/>
        </w:rPr>
        <w:t>CKD患者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</w:rPr>
        <w:t>按照肾小球滤过率可分为5期，3～4期肾功能即开始下降，此阶段属于慢性肾功能不全的早中期，为病情发展的关键阶段。目前西医尚缺乏延缓肾功能进展的有效措施，主要以控制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val="en-US" w:eastAsia="zh-CN"/>
        </w:rPr>
        <w:t>血压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</w:rPr>
        <w:t>、控制血糖、纠正贫血等对症治疗为主。中医药在此阶段可发挥辨证论治优势，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val="en-US" w:eastAsia="zh-CN"/>
        </w:rPr>
        <w:t>延缓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</w:rPr>
        <w:t>肾功能进展。</w:t>
      </w:r>
    </w:p>
    <w:p w14:paraId="3F208B76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00"/>
        <w:textAlignment w:val="auto"/>
        <w:rPr>
          <w:rFonts w:hint="eastAsia" w:ascii="Times New Roman" w:hAnsi="Times New Roman" w:cs="Times New Roman" w:eastAsiaTheme="minorEastAsia"/>
          <w:i/>
          <w:color w:val="000000" w:themeColor="text1"/>
          <w:kern w:val="0"/>
          <w:sz w:val="20"/>
          <w:szCs w:val="21"/>
          <w:highlight w:val="none"/>
          <w:lang w:eastAsia="zh-CN"/>
        </w:rPr>
        <w:sectPr>
          <w:headerReference r:id="rId9" w:type="default"/>
          <w:footerReference r:id="rId10" w:type="default"/>
          <w:pgSz w:w="11906" w:h="16838"/>
          <w:pgMar w:top="1440" w:right="1797" w:bottom="1440" w:left="1797" w:header="1418" w:footer="1134" w:gutter="0"/>
          <w:pgNumType w:fmt="upperRoman" w:start="1"/>
          <w:cols w:space="720" w:num="1"/>
          <w:formProt w:val="0"/>
          <w:docGrid w:linePitch="312" w:charSpace="0"/>
        </w:sect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</w:rPr>
        <w:t>CKD 3～4期患者常因久病耗伤，导致脾肾两伤、气阴两虚，临床表现为神疲乏力、腰膝酸软、口燥咽干、夜尿频多等。脾肾气阴两虚证是CKD 3～4期的常见证型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val="en-US" w:eastAsia="zh-CN"/>
        </w:rPr>
        <w:t>以补益脾肾、益气养阴法干预可延缓CKD进展。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</w:rPr>
        <w:t>然而，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val="en-US" w:eastAsia="zh-CN"/>
        </w:rPr>
        <w:t>当前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</w:rPr>
        <w:t>CKD 3～4期脾肾气阴两虚证的证候诊断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val="en-US" w:eastAsia="zh-CN"/>
        </w:rPr>
        <w:t>尚未形成规范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val="en-US" w:eastAsia="zh-CN"/>
        </w:rPr>
        <w:t>既往辨证方式多为专家个人临床经验。为提高临床诊疗及科研辨证的一致性和准确性，特制订本标准，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</w:rPr>
        <w:t>以期为临床医生判定CKD 3～4期脾肾气阴两虚证提供便利，提高临床诊断、辨证的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val="en-US" w:eastAsia="zh-CN"/>
        </w:rPr>
        <w:t>规范性及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</w:rPr>
        <w:t>准确性，及早进行中医药干预，进而延缓CKD进展</w:t>
      </w: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/>
          <w:color w:val="000000" w:themeColor="text1"/>
          <w:kern w:val="0"/>
          <w:sz w:val="21"/>
          <w:szCs w:val="21"/>
          <w:highlight w:val="none"/>
          <w:lang w:eastAsia="zh-CN"/>
        </w:rPr>
        <w:t>；同时为CKD 3～4期脾肾气阴两虚证科学研究提供辨证指导。</w:t>
      </w:r>
    </w:p>
    <w:p w14:paraId="1E67489E">
      <w:pPr>
        <w:pStyle w:val="23"/>
        <w:shd w:val="clear" w:color="FFFFFF" w:fill="FFFFFF"/>
        <w:rPr>
          <w:rFonts w:ascii="Times New Roman"/>
        </w:rPr>
      </w:pPr>
      <w:bookmarkStart w:id="7" w:name="_Toc459720143"/>
      <w:bookmarkStart w:id="8" w:name="_Toc459704603"/>
      <w:bookmarkStart w:id="9" w:name="_Toc510534528"/>
      <w:bookmarkStart w:id="10" w:name="_Toc459724774"/>
      <w:bookmarkStart w:id="11" w:name="_Toc509933849"/>
      <w:r>
        <w:rPr>
          <w:rFonts w:hint="eastAsia"/>
          <w:b/>
          <w:bCs/>
        </w:rPr>
        <w:t>慢性肾脏病3～4期脾肾气阴两虚证</w:t>
      </w:r>
      <w:r>
        <w:rPr>
          <w:rFonts w:hint="eastAsia"/>
          <w:b/>
          <w:bCs/>
          <w:lang w:val="en-US" w:eastAsia="zh-CN"/>
        </w:rPr>
        <w:t>中医证候</w:t>
      </w:r>
      <w:r>
        <w:rPr>
          <w:rFonts w:hint="eastAsia"/>
          <w:b/>
          <w:bCs/>
        </w:rPr>
        <w:t>诊断规范</w:t>
      </w:r>
    </w:p>
    <w:p w14:paraId="39CB8853">
      <w:pPr>
        <w:pStyle w:val="15"/>
        <w:numPr>
          <w:ilvl w:val="0"/>
          <w:numId w:val="2"/>
        </w:numPr>
        <w:spacing w:before="240" w:beforeLines="100" w:after="240" w:afterLines="100"/>
        <w:rPr>
          <w:rFonts w:ascii="Times New Roman"/>
        </w:rPr>
      </w:pPr>
      <w:r>
        <w:rPr>
          <w:rFonts w:ascii="Times New Roman"/>
        </w:rPr>
        <w:t>范围</w:t>
      </w:r>
      <w:bookmarkEnd w:id="7"/>
      <w:bookmarkEnd w:id="8"/>
      <w:bookmarkEnd w:id="9"/>
      <w:bookmarkEnd w:id="10"/>
      <w:bookmarkEnd w:id="11"/>
    </w:p>
    <w:p w14:paraId="20CE024B">
      <w:pPr>
        <w:pStyle w:val="16"/>
        <w:spacing w:line="360" w:lineRule="exact"/>
        <w:ind w:firstLine="420"/>
      </w:pPr>
      <w:bookmarkStart w:id="12" w:name="_Toc459720144"/>
      <w:bookmarkStart w:id="13" w:name="_Toc459724775"/>
      <w:bookmarkStart w:id="14" w:name="_Toc459704604"/>
      <w:r>
        <w:rPr>
          <w:rFonts w:hint="eastAsia"/>
        </w:rPr>
        <w:t>本文件</w:t>
      </w:r>
      <w:r>
        <w:rPr>
          <w:rFonts w:hint="eastAsia"/>
          <w:lang w:val="en-US" w:eastAsia="zh-CN"/>
        </w:rPr>
        <w:t>提供了慢性肾脏病3～4期脾肾气阴两虚证诊断规范</w:t>
      </w:r>
      <w:r>
        <w:rPr>
          <w:rFonts w:hint="eastAsia"/>
        </w:rPr>
        <w:t>。</w:t>
      </w:r>
    </w:p>
    <w:p w14:paraId="5E206DB1">
      <w:pPr>
        <w:pStyle w:val="16"/>
        <w:spacing w:line="360" w:lineRule="exact"/>
        <w:ind w:firstLine="420"/>
        <w:rPr>
          <w:rFonts w:hint="eastAsia"/>
        </w:rPr>
      </w:pPr>
      <w:r>
        <w:rPr>
          <w:rFonts w:hint="eastAsia"/>
          <w:color w:val="auto"/>
        </w:rPr>
        <w:t>本文件适用于</w:t>
      </w:r>
      <w:r>
        <w:rPr>
          <w:rFonts w:hint="eastAsia" w:ascii="宋体" w:eastAsia="宋体"/>
          <w:color w:val="auto"/>
          <w:lang w:val="en-US" w:eastAsia="zh-CN"/>
        </w:rPr>
        <w:t>各级中医/中西医结合医疗机构以及开展中医药服务的医疗机构，可供执业中医师/中西医结合医师、执业助理中医师</w:t>
      </w:r>
      <w:r>
        <w:rPr>
          <w:rFonts w:hint="eastAsia"/>
        </w:rPr>
        <w:t>/执业助理中西医结合医师、中医药科研人员、相关政策制定者等使用。</w:t>
      </w:r>
    </w:p>
    <w:p w14:paraId="1FCEEC32">
      <w:pPr>
        <w:pStyle w:val="15"/>
        <w:numPr>
          <w:ilvl w:val="0"/>
          <w:numId w:val="2"/>
        </w:numPr>
        <w:spacing w:before="240" w:beforeLines="100" w:after="240" w:afterLines="100"/>
        <w:rPr>
          <w:rFonts w:ascii="Times New Roman"/>
        </w:rPr>
      </w:pPr>
      <w:bookmarkStart w:id="15" w:name="_Toc510534529"/>
      <w:bookmarkStart w:id="16" w:name="_Toc509933850"/>
      <w:r>
        <w:rPr>
          <w:rFonts w:ascii="Times New Roman"/>
        </w:rPr>
        <w:t>规范性引用文件</w:t>
      </w:r>
      <w:bookmarkEnd w:id="12"/>
      <w:bookmarkEnd w:id="13"/>
      <w:bookmarkEnd w:id="14"/>
      <w:bookmarkEnd w:id="15"/>
      <w:bookmarkEnd w:id="16"/>
    </w:p>
    <w:p w14:paraId="245E47D4">
      <w:pPr>
        <w:pStyle w:val="16"/>
        <w:tabs>
          <w:tab w:val="center" w:pos="4201"/>
          <w:tab w:val="right" w:leader="dot" w:pos="9298"/>
        </w:tabs>
        <w:spacing w:line="360" w:lineRule="exact"/>
        <w:ind w:firstLine="420"/>
        <w:rPr>
          <w:rFonts w:hint="eastAsia" w:hAnsi="宋体"/>
          <w:color w:val="000000"/>
        </w:rPr>
      </w:pPr>
      <w:bookmarkStart w:id="17" w:name="_Toc459704605"/>
      <w:bookmarkEnd w:id="17"/>
      <w:bookmarkStart w:id="18" w:name="_Toc459724776"/>
      <w:bookmarkStart w:id="19" w:name="_Toc459720145"/>
      <w:r>
        <w:rPr>
          <w:rFonts w:hint="eastAsia" w:ascii="Times New Roman"/>
          <w:color w:val="000000"/>
        </w:rPr>
        <w:t>下列文件对本文件的应用是必不可少的。凡是注日期的引用文件，仅注日期的版本适用于本文件。凡是不注日期的引用文件，其最新版本（包括所有的修改单）适用于本文件。</w:t>
      </w:r>
      <w:r>
        <w:rPr>
          <w:rFonts w:hint="eastAsia" w:hAnsi="宋体"/>
          <w:color w:val="000000"/>
        </w:rPr>
        <w:t xml:space="preserve"> </w:t>
      </w:r>
    </w:p>
    <w:p w14:paraId="6DA1160B">
      <w:pPr>
        <w:pStyle w:val="16"/>
        <w:tabs>
          <w:tab w:val="center" w:pos="4201"/>
          <w:tab w:val="right" w:leader="dot" w:pos="9298"/>
        </w:tabs>
        <w:spacing w:line="360" w:lineRule="exact"/>
        <w:ind w:firstLine="420"/>
        <w:rPr>
          <w:rFonts w:hint="eastAsia" w:hAnsi="宋体" w:eastAsia="宋体"/>
          <w:color w:val="000000"/>
          <w:lang w:eastAsia="zh-CN"/>
        </w:rPr>
      </w:pPr>
      <w:r>
        <w:rPr>
          <w:rFonts w:hint="eastAsia" w:hAnsi="宋体"/>
          <w:color w:val="000000"/>
          <w:lang w:eastAsia="zh-CN"/>
        </w:rPr>
        <w:t>《</w:t>
      </w:r>
      <w:r>
        <w:rPr>
          <w:rFonts w:hint="eastAsia" w:hAnsi="宋体"/>
          <w:color w:val="000000"/>
        </w:rPr>
        <w:t>中医临床常见症状术语规范</w:t>
      </w:r>
      <w:r>
        <w:rPr>
          <w:rFonts w:hint="eastAsia" w:hAnsi="宋体"/>
          <w:color w:val="000000"/>
          <w:lang w:eastAsia="zh-CN"/>
        </w:rPr>
        <w:t>》</w:t>
      </w:r>
    </w:p>
    <w:p w14:paraId="402E3A42">
      <w:pPr>
        <w:pStyle w:val="16"/>
        <w:tabs>
          <w:tab w:val="center" w:pos="4201"/>
          <w:tab w:val="right" w:leader="dot" w:pos="9298"/>
        </w:tabs>
        <w:spacing w:line="360" w:lineRule="exact"/>
        <w:ind w:firstLine="420"/>
        <w:rPr>
          <w:rFonts w:hint="eastAsia" w:hAnsi="宋体" w:eastAsia="宋体"/>
          <w:color w:val="000000"/>
          <w:lang w:eastAsia="zh-CN"/>
        </w:rPr>
      </w:pPr>
      <w:r>
        <w:rPr>
          <w:rFonts w:hint="eastAsia" w:hAnsi="宋体"/>
          <w:color w:val="000000"/>
          <w:lang w:eastAsia="zh-CN"/>
        </w:rPr>
        <w:t>《</w:t>
      </w:r>
      <w:r>
        <w:rPr>
          <w:rFonts w:hint="eastAsia" w:hAnsi="宋体"/>
          <w:color w:val="000000"/>
        </w:rPr>
        <w:t>中医症状鉴别诊断学</w:t>
      </w:r>
      <w:r>
        <w:rPr>
          <w:rFonts w:hint="eastAsia" w:hAnsi="宋体"/>
          <w:color w:val="000000"/>
          <w:lang w:eastAsia="zh-CN"/>
        </w:rPr>
        <w:t>》</w:t>
      </w:r>
    </w:p>
    <w:p w14:paraId="760FDB44">
      <w:pPr>
        <w:pStyle w:val="16"/>
        <w:tabs>
          <w:tab w:val="center" w:pos="4201"/>
          <w:tab w:val="right" w:leader="dot" w:pos="9298"/>
        </w:tabs>
        <w:spacing w:line="360" w:lineRule="exact"/>
        <w:ind w:firstLine="420"/>
        <w:rPr>
          <w:rFonts w:hint="eastAsia" w:hAnsi="宋体" w:eastAsia="宋体"/>
          <w:color w:val="000000"/>
          <w:lang w:eastAsia="zh-CN"/>
        </w:rPr>
      </w:pPr>
      <w:r>
        <w:rPr>
          <w:rFonts w:hint="eastAsia" w:hAnsi="宋体"/>
          <w:color w:val="000000"/>
          <w:lang w:val="en-US" w:eastAsia="zh-CN"/>
        </w:rPr>
        <w:t>《中医药学名词》</w:t>
      </w:r>
    </w:p>
    <w:p w14:paraId="716EDB33">
      <w:pPr>
        <w:pStyle w:val="15"/>
        <w:numPr>
          <w:ilvl w:val="0"/>
          <w:numId w:val="2"/>
        </w:numPr>
        <w:spacing w:before="240" w:beforeLines="100" w:after="240" w:afterLines="100"/>
        <w:rPr>
          <w:rFonts w:ascii="Times New Roman"/>
        </w:rPr>
      </w:pPr>
      <w:bookmarkStart w:id="20" w:name="_Toc436205037"/>
      <w:bookmarkStart w:id="21" w:name="_Toc510534530"/>
      <w:bookmarkStart w:id="22" w:name="_Toc509933851"/>
      <w:r>
        <w:rPr>
          <w:rFonts w:hint="eastAsia" w:ascii="Times New Roman"/>
        </w:rPr>
        <w:t>术语和定义</w:t>
      </w:r>
      <w:bookmarkEnd w:id="20"/>
      <w:bookmarkEnd w:id="21"/>
      <w:bookmarkEnd w:id="22"/>
    </w:p>
    <w:p w14:paraId="41B9C1E7">
      <w:pPr>
        <w:pStyle w:val="16"/>
        <w:spacing w:line="360" w:lineRule="exact"/>
        <w:ind w:firstLine="420"/>
      </w:pPr>
      <w:bookmarkStart w:id="23" w:name="_Hlk92788667"/>
      <w:r>
        <w:rPr>
          <w:rFonts w:hint="eastAsia"/>
        </w:rPr>
        <w:t>下列术语和定义适用于本文件。</w:t>
      </w:r>
    </w:p>
    <w:bookmarkEnd w:id="23"/>
    <w:p w14:paraId="7591DBB0">
      <w:pPr>
        <w:pStyle w:val="16"/>
        <w:spacing w:line="360" w:lineRule="exact"/>
        <w:ind w:firstLine="0" w:firstLineChars="0"/>
        <w:rPr>
          <w:rFonts w:ascii="黑体" w:hAnsi="黑体" w:eastAsia="黑体"/>
        </w:rPr>
      </w:pPr>
      <w:r>
        <w:rPr>
          <w:rFonts w:ascii="黑体" w:hAnsi="黑体" w:eastAsia="黑体"/>
        </w:rPr>
        <w:t>3.1</w:t>
      </w:r>
    </w:p>
    <w:p w14:paraId="473AB0DF">
      <w:pPr>
        <w:pStyle w:val="16"/>
        <w:spacing w:line="360" w:lineRule="exact"/>
        <w:ind w:firstLine="420"/>
        <w:rPr>
          <w:rFonts w:ascii="黑体" w:hAnsi="黑体" w:eastAsia="黑体"/>
        </w:rPr>
      </w:pPr>
      <w:r>
        <w:rPr>
          <w:rFonts w:hint="eastAsia" w:ascii="黑体" w:hAnsi="黑体" w:eastAsia="黑体" w:cs="Arial"/>
          <w:kern w:val="0"/>
          <w:lang w:val="en-US" w:eastAsia="zh-CN"/>
        </w:rPr>
        <w:t>慢性肾脏病</w:t>
      </w:r>
      <w:r>
        <w:rPr>
          <w:rFonts w:hint="eastAsia" w:ascii="黑体" w:hAnsi="黑体" w:eastAsia="黑体" w:cs="Arial"/>
          <w:kern w:val="0"/>
        </w:rPr>
        <w:t xml:space="preserve">  chronic kidney disease, CKD</w:t>
      </w:r>
    </w:p>
    <w:p w14:paraId="4622074A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ind w:firstLine="420"/>
        <w:jc w:val="left"/>
        <w:textAlignment w:val="auto"/>
        <w:rPr>
          <w:rFonts w:hint="eastAsia" w:eastAsia="宋体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慢性肾脏病</w:t>
      </w:r>
      <w:r>
        <w:rPr>
          <w:rFonts w:hint="eastAsia"/>
          <w:highlight w:val="none"/>
        </w:rPr>
        <w:t>是由多种原因引起的肾脏结构和/或功能异常，持续时间超过</w:t>
      </w:r>
      <w:r>
        <w:rPr>
          <w:rFonts w:hint="eastAsia"/>
          <w:highlight w:val="none"/>
          <w:lang w:val="en-US" w:eastAsia="zh-CN"/>
        </w:rPr>
        <w:t>3</w:t>
      </w:r>
      <w:r>
        <w:rPr>
          <w:rFonts w:hint="eastAsia"/>
          <w:highlight w:val="none"/>
        </w:rPr>
        <w:t>个</w:t>
      </w:r>
      <w:r>
        <w:rPr>
          <w:rFonts w:hint="eastAsia"/>
          <w:highlight w:val="none"/>
          <w:lang w:val="en-US" w:eastAsia="zh-CN"/>
        </w:rPr>
        <w:t>月</w:t>
      </w:r>
      <w:r>
        <w:rPr>
          <w:rFonts w:hint="eastAsia"/>
          <w:highlight w:val="none"/>
        </w:rPr>
        <w:t>的慢性疾病</w:t>
      </w:r>
      <w:r>
        <w:rPr>
          <w:rFonts w:hint="eastAsia"/>
          <w:highlight w:val="none"/>
          <w:lang w:eastAsia="zh-CN"/>
        </w:rPr>
        <w:t>。</w:t>
      </w:r>
    </w:p>
    <w:p w14:paraId="637F60B9">
      <w:pPr>
        <w:pStyle w:val="16"/>
        <w:spacing w:line="360" w:lineRule="exact"/>
        <w:ind w:firstLine="0" w:firstLineChars="0"/>
        <w:rPr>
          <w:rFonts w:ascii="黑体" w:hAnsi="黑体" w:eastAsia="黑体"/>
        </w:rPr>
      </w:pPr>
      <w:r>
        <w:rPr>
          <w:rFonts w:ascii="黑体" w:hAnsi="黑体" w:eastAsia="黑体"/>
        </w:rPr>
        <w:t>3.2</w:t>
      </w:r>
    </w:p>
    <w:p w14:paraId="06DF2E5E">
      <w:pPr>
        <w:pStyle w:val="16"/>
        <w:spacing w:line="360" w:lineRule="exact"/>
        <w:ind w:firstLine="420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神疲</w:t>
      </w:r>
      <w:r>
        <w:rPr>
          <w:rFonts w:hint="eastAsia" w:ascii="黑体" w:hAnsi="黑体" w:eastAsia="黑体"/>
          <w:lang w:val="en-US" w:eastAsia="zh-CN"/>
        </w:rPr>
        <w:t xml:space="preserve">  </w:t>
      </w:r>
      <w:r>
        <w:rPr>
          <w:rFonts w:hint="eastAsia" w:ascii="黑体" w:hAnsi="黑体" w:eastAsia="黑体"/>
        </w:rPr>
        <w:t>spiritlessness</w:t>
      </w:r>
    </w:p>
    <w:p w14:paraId="4A3A420F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ind w:firstLine="42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精神疲劳、感到非常疲乏和无力的状态</w:t>
      </w:r>
      <w:r>
        <w:rPr>
          <w:rFonts w:hint="eastAsia"/>
        </w:rPr>
        <w:t xml:space="preserve">。 </w:t>
      </w:r>
    </w:p>
    <w:p w14:paraId="5629EBF1">
      <w:pPr>
        <w:pStyle w:val="16"/>
        <w:spacing w:line="360" w:lineRule="exact"/>
        <w:ind w:firstLine="0" w:firstLineChars="0"/>
        <w:rPr>
          <w:rFonts w:hint="eastAsia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3</w:t>
      </w:r>
    </w:p>
    <w:p w14:paraId="526E9F96">
      <w:pPr>
        <w:pStyle w:val="16"/>
        <w:spacing w:line="360" w:lineRule="exact"/>
        <w:ind w:firstLine="420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</w:rPr>
        <w:t>乏力</w:t>
      </w:r>
      <w:r>
        <w:rPr>
          <w:rFonts w:hint="eastAsia" w:ascii="黑体" w:hAnsi="黑体" w:eastAsia="黑体"/>
          <w:lang w:val="en-US" w:eastAsia="zh-CN"/>
        </w:rPr>
        <w:t xml:space="preserve">  lassitude</w:t>
      </w:r>
    </w:p>
    <w:p w14:paraId="31DD7388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ind w:firstLine="420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体力减退，自觉全身无力。</w:t>
      </w:r>
    </w:p>
    <w:p w14:paraId="71E66528">
      <w:pPr>
        <w:pStyle w:val="16"/>
        <w:spacing w:line="360" w:lineRule="exact"/>
        <w:ind w:firstLine="0" w:firstLineChars="0"/>
        <w:rPr>
          <w:rFonts w:hint="eastAsia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4</w:t>
      </w:r>
    </w:p>
    <w:p w14:paraId="37A9FE4A">
      <w:pPr>
        <w:pStyle w:val="16"/>
        <w:spacing w:line="360" w:lineRule="exact"/>
        <w:ind w:firstLine="420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</w:rPr>
        <w:t>腰膝酸软</w:t>
      </w:r>
      <w:r>
        <w:rPr>
          <w:rFonts w:hint="eastAsia" w:ascii="黑体" w:hAnsi="黑体" w:eastAsia="黑体"/>
          <w:lang w:val="en-US" w:eastAsia="zh-CN"/>
        </w:rPr>
        <w:t xml:space="preserve">  soreness and weakness of waist and knees</w:t>
      </w:r>
    </w:p>
    <w:p w14:paraId="29E44E29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ind w:firstLine="420"/>
        <w:textAlignment w:val="auto"/>
        <w:rPr>
          <w:rFonts w:hint="eastAsia"/>
        </w:rPr>
      </w:pPr>
      <w:r>
        <w:rPr>
          <w:rFonts w:hint="eastAsia"/>
        </w:rPr>
        <w:t>自觉腰部与膝部酸软无力的表现。</w:t>
      </w:r>
    </w:p>
    <w:p w14:paraId="034BBC8E">
      <w:pPr>
        <w:pStyle w:val="16"/>
        <w:spacing w:line="360" w:lineRule="exact"/>
        <w:ind w:firstLine="0" w:firstLineChars="0"/>
        <w:rPr>
          <w:rFonts w:hint="eastAsia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5</w:t>
      </w:r>
    </w:p>
    <w:p w14:paraId="275C6CE2">
      <w:pPr>
        <w:pStyle w:val="16"/>
        <w:spacing w:line="360" w:lineRule="exact"/>
        <w:ind w:firstLine="420"/>
        <w:rPr>
          <w:rFonts w:hint="default" w:ascii="黑体" w:hAnsi="黑体" w:eastAsia="黑体"/>
          <w:highlight w:val="none"/>
          <w:lang w:val="en-US" w:eastAsia="zh-CN"/>
        </w:rPr>
      </w:pPr>
      <w:r>
        <w:rPr>
          <w:rFonts w:hint="eastAsia" w:ascii="黑体" w:hAnsi="黑体" w:eastAsia="黑体"/>
          <w:highlight w:val="none"/>
          <w:lang w:val="en-US" w:eastAsia="zh-CN"/>
        </w:rPr>
        <w:t>气短  shortness of breath</w:t>
      </w:r>
    </w:p>
    <w:p w14:paraId="65859089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ind w:left="0" w:leftChars="0" w:firstLine="420" w:firstLineChars="200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胸部满闷，气不足以续息</w:t>
      </w:r>
      <w:r>
        <w:rPr>
          <w:rFonts w:hint="eastAsia"/>
          <w:highlight w:val="none"/>
        </w:rPr>
        <w:t>。</w:t>
      </w:r>
    </w:p>
    <w:p w14:paraId="42623C59">
      <w:pPr>
        <w:pStyle w:val="16"/>
        <w:spacing w:line="360" w:lineRule="exact"/>
        <w:ind w:firstLine="0" w:firstLineChars="0"/>
        <w:rPr>
          <w:rFonts w:hint="eastAsia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6</w:t>
      </w:r>
    </w:p>
    <w:p w14:paraId="747FFE13">
      <w:pPr>
        <w:pStyle w:val="16"/>
        <w:spacing w:line="360" w:lineRule="exact"/>
        <w:ind w:firstLine="420"/>
        <w:rPr>
          <w:rFonts w:hint="default" w:ascii="黑体" w:hAnsi="黑体" w:eastAsia="黑体"/>
          <w:highlight w:val="none"/>
          <w:lang w:val="en-US" w:eastAsia="zh-CN"/>
        </w:rPr>
      </w:pPr>
      <w:r>
        <w:rPr>
          <w:rFonts w:hint="eastAsia" w:ascii="黑体" w:hAnsi="黑体" w:eastAsia="黑体"/>
          <w:highlight w:val="none"/>
          <w:lang w:val="en-US" w:eastAsia="zh-CN"/>
        </w:rPr>
        <w:t>口干  dry mouth</w:t>
      </w:r>
    </w:p>
    <w:p w14:paraId="53CD23B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</w:rPr>
        <w:t>自觉口中津液不足，但没有饮水要求，或饮水很少的表现。</w:t>
      </w:r>
    </w:p>
    <w:p w14:paraId="29D83497">
      <w:pPr>
        <w:pStyle w:val="16"/>
        <w:spacing w:line="360" w:lineRule="exact"/>
        <w:ind w:firstLine="0" w:firstLineChars="0"/>
        <w:rPr>
          <w:rFonts w:hint="eastAsia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7</w:t>
      </w:r>
    </w:p>
    <w:p w14:paraId="5B0A701D">
      <w:pPr>
        <w:pStyle w:val="16"/>
        <w:spacing w:line="360" w:lineRule="exact"/>
        <w:ind w:firstLine="420"/>
        <w:rPr>
          <w:rFonts w:hint="default" w:ascii="黑体" w:hAnsi="黑体" w:eastAsia="黑体"/>
          <w:highlight w:val="none"/>
          <w:lang w:val="en-US" w:eastAsia="zh-CN"/>
        </w:rPr>
      </w:pPr>
      <w:r>
        <w:rPr>
          <w:rFonts w:hint="eastAsia" w:ascii="黑体" w:hAnsi="黑体" w:eastAsia="黑体"/>
          <w:highlight w:val="none"/>
          <w:lang w:val="en-US" w:eastAsia="zh-CN"/>
        </w:rPr>
        <w:t>脉沉  deep pulse</w:t>
      </w:r>
    </w:p>
    <w:p w14:paraId="7F56837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脉位较深，需重按才能触及。</w:t>
      </w:r>
    </w:p>
    <w:p w14:paraId="453A415C">
      <w:pPr>
        <w:pStyle w:val="16"/>
        <w:spacing w:line="360" w:lineRule="exact"/>
        <w:ind w:firstLine="0" w:firstLineChars="0"/>
        <w:rPr>
          <w:rFonts w:hint="eastAsia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8</w:t>
      </w:r>
    </w:p>
    <w:p w14:paraId="444C6063">
      <w:pPr>
        <w:pStyle w:val="16"/>
        <w:spacing w:line="360" w:lineRule="exact"/>
        <w:ind w:firstLine="420"/>
        <w:rPr>
          <w:rFonts w:hint="default" w:ascii="黑体" w:hAnsi="黑体" w:eastAsia="黑体"/>
          <w:highlight w:val="none"/>
          <w:lang w:val="en-US" w:eastAsia="zh-CN"/>
        </w:rPr>
      </w:pPr>
      <w:r>
        <w:rPr>
          <w:rFonts w:hint="eastAsia" w:ascii="黑体" w:hAnsi="黑体" w:eastAsia="黑体"/>
          <w:highlight w:val="none"/>
          <w:lang w:val="en-US" w:eastAsia="zh-CN"/>
        </w:rPr>
        <w:t>脉细  thready pulse</w:t>
      </w:r>
    </w:p>
    <w:p w14:paraId="2B8B3608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</w:rPr>
        <w:t>脉细如线，但应指明显。</w:t>
      </w:r>
    </w:p>
    <w:p w14:paraId="3CF2090D">
      <w:pPr>
        <w:pStyle w:val="16"/>
        <w:spacing w:line="360" w:lineRule="exact"/>
        <w:ind w:firstLine="0" w:firstLineChars="0"/>
        <w:rPr>
          <w:rFonts w:hint="eastAsia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9</w:t>
      </w:r>
    </w:p>
    <w:p w14:paraId="6EA426A6">
      <w:pPr>
        <w:pStyle w:val="16"/>
        <w:spacing w:line="360" w:lineRule="exact"/>
        <w:ind w:firstLine="420"/>
        <w:rPr>
          <w:rFonts w:hint="default" w:ascii="黑体" w:hAnsi="黑体" w:eastAsia="黑体"/>
          <w:highlight w:val="none"/>
          <w:lang w:val="en-US" w:eastAsia="zh-CN"/>
        </w:rPr>
      </w:pPr>
      <w:r>
        <w:rPr>
          <w:rFonts w:hint="eastAsia" w:ascii="黑体" w:hAnsi="黑体" w:eastAsia="黑体"/>
          <w:highlight w:val="none"/>
          <w:lang w:val="en-US" w:eastAsia="zh-CN"/>
        </w:rPr>
        <w:t>舌淡  pale white tongue</w:t>
      </w:r>
    </w:p>
    <w:p w14:paraId="08B58621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</w:rPr>
        <w:t>舌质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</w:rPr>
        <w:t>体</w:t>
      </w:r>
      <w:r>
        <w:rPr>
          <w:rFonts w:hint="eastAsia"/>
          <w:highlight w:val="none"/>
          <w:lang w:eastAsia="zh-CN"/>
        </w:rPr>
        <w:t>）</w:t>
      </w:r>
      <w:r>
        <w:rPr>
          <w:rFonts w:hint="eastAsia"/>
          <w:highlight w:val="none"/>
        </w:rPr>
        <w:t>的颜色较正常浅淡。</w:t>
      </w:r>
    </w:p>
    <w:p w14:paraId="67D6E08B">
      <w:pPr>
        <w:pStyle w:val="16"/>
        <w:spacing w:line="360" w:lineRule="exact"/>
        <w:ind w:firstLine="0" w:firstLineChars="0"/>
        <w:rPr>
          <w:rFonts w:hint="default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10</w:t>
      </w:r>
    </w:p>
    <w:p w14:paraId="6209FFC1">
      <w:pPr>
        <w:pStyle w:val="16"/>
        <w:spacing w:line="360" w:lineRule="exact"/>
        <w:ind w:firstLine="420"/>
        <w:rPr>
          <w:rFonts w:hint="default" w:ascii="黑体" w:hAnsi="黑体" w:eastAsia="黑体"/>
          <w:highlight w:val="none"/>
          <w:lang w:val="en-US" w:eastAsia="zh-CN"/>
        </w:rPr>
      </w:pPr>
      <w:r>
        <w:rPr>
          <w:rFonts w:hint="eastAsia" w:ascii="黑体" w:hAnsi="黑体" w:eastAsia="黑体"/>
          <w:highlight w:val="none"/>
          <w:lang w:val="en-US" w:eastAsia="zh-CN"/>
        </w:rPr>
        <w:t>齿痕舌  tongue with teeth marks</w:t>
      </w:r>
    </w:p>
    <w:p w14:paraId="6E3C3086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</w:rPr>
        <w:t>舌体边缘有牙齿压迫的痕迹</w:t>
      </w: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</w:rPr>
        <w:t>不是因为牙齿排列不整齐或义齿的原因</w:t>
      </w:r>
      <w:r>
        <w:rPr>
          <w:rFonts w:hint="eastAsia"/>
          <w:highlight w:val="none"/>
          <w:lang w:eastAsia="zh-CN"/>
        </w:rPr>
        <w:t>）</w:t>
      </w:r>
      <w:r>
        <w:rPr>
          <w:rFonts w:hint="eastAsia"/>
          <w:highlight w:val="none"/>
        </w:rPr>
        <w:t>。</w:t>
      </w:r>
    </w:p>
    <w:p w14:paraId="0A486CB7">
      <w:pPr>
        <w:pStyle w:val="16"/>
        <w:spacing w:line="360" w:lineRule="exact"/>
        <w:ind w:firstLine="0" w:firstLineChars="0"/>
        <w:rPr>
          <w:rFonts w:hint="default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11</w:t>
      </w:r>
    </w:p>
    <w:p w14:paraId="4142BFA9">
      <w:pPr>
        <w:pStyle w:val="16"/>
        <w:spacing w:line="360" w:lineRule="exact"/>
        <w:ind w:firstLine="420"/>
        <w:rPr>
          <w:rFonts w:hint="default" w:ascii="黑体" w:hAnsi="黑体" w:eastAsia="黑体"/>
          <w:highlight w:val="none"/>
          <w:lang w:val="en-US" w:eastAsia="zh-CN"/>
        </w:rPr>
      </w:pPr>
      <w:r>
        <w:rPr>
          <w:rFonts w:hint="eastAsia" w:ascii="黑体" w:hAnsi="黑体" w:eastAsia="黑体"/>
          <w:highlight w:val="none"/>
          <w:lang w:val="en-US" w:eastAsia="zh-CN"/>
        </w:rPr>
        <w:t>少苔  scanty tongue coating</w:t>
      </w:r>
    </w:p>
    <w:p w14:paraId="713BE16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textAlignment w:val="auto"/>
        <w:rPr>
          <w:rFonts w:hint="eastAsia" w:eastAsia="宋体"/>
          <w:highlight w:val="none"/>
          <w:lang w:eastAsia="zh-CN"/>
        </w:rPr>
      </w:pPr>
      <w:r>
        <w:rPr>
          <w:rFonts w:hint="eastAsia"/>
          <w:highlight w:val="none"/>
        </w:rPr>
        <w:t>舌苔分布稀疏、薄而不足，甚至部分区域无苔覆盖，可隐约透见舌质的舌象</w:t>
      </w:r>
      <w:r>
        <w:rPr>
          <w:rFonts w:hint="eastAsia"/>
          <w:highlight w:val="none"/>
          <w:lang w:eastAsia="zh-CN"/>
        </w:rPr>
        <w:t>。</w:t>
      </w:r>
    </w:p>
    <w:p w14:paraId="732AEEBC">
      <w:pPr>
        <w:pStyle w:val="16"/>
        <w:spacing w:line="360" w:lineRule="exact"/>
        <w:ind w:firstLine="0" w:firstLineChars="0"/>
        <w:rPr>
          <w:rFonts w:hint="default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12</w:t>
      </w:r>
    </w:p>
    <w:p w14:paraId="1C65B10A">
      <w:pPr>
        <w:pStyle w:val="16"/>
        <w:spacing w:line="360" w:lineRule="exact"/>
        <w:ind w:firstLine="420"/>
        <w:rPr>
          <w:rFonts w:hint="default" w:ascii="黑体" w:hAnsi="黑体" w:eastAsia="黑体"/>
          <w:highlight w:val="none"/>
          <w:lang w:val="en-US" w:eastAsia="zh-CN"/>
        </w:rPr>
      </w:pPr>
      <w:r>
        <w:rPr>
          <w:rFonts w:hint="eastAsia" w:ascii="黑体" w:hAnsi="黑体" w:eastAsia="黑体"/>
          <w:highlight w:val="none"/>
          <w:lang w:val="en-US" w:eastAsia="zh-CN"/>
        </w:rPr>
        <w:t>脉弱  weak pulse</w:t>
      </w:r>
    </w:p>
    <w:p w14:paraId="42AD1CA8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</w:rPr>
        <w:t>脉搏跳动无力</w:t>
      </w:r>
      <w:r>
        <w:rPr>
          <w:rFonts w:hint="eastAsia"/>
          <w:highlight w:val="none"/>
          <w:lang w:eastAsia="zh-CN"/>
        </w:rPr>
        <w:t>、</w:t>
      </w:r>
      <w:r>
        <w:rPr>
          <w:rFonts w:hint="eastAsia"/>
          <w:highlight w:val="none"/>
        </w:rPr>
        <w:t>细软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</w:rPr>
        <w:t>甚至难以触及。</w:t>
      </w:r>
    </w:p>
    <w:p w14:paraId="14C5A3F3">
      <w:pPr>
        <w:pStyle w:val="16"/>
        <w:spacing w:line="360" w:lineRule="exact"/>
        <w:ind w:firstLine="0" w:firstLineChars="0"/>
        <w:rPr>
          <w:rFonts w:hint="default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13</w:t>
      </w:r>
    </w:p>
    <w:p w14:paraId="327CBC0C">
      <w:pPr>
        <w:pStyle w:val="16"/>
        <w:spacing w:line="360" w:lineRule="exact"/>
        <w:ind w:firstLine="420"/>
        <w:rPr>
          <w:rFonts w:hint="default" w:ascii="黑体" w:hAnsi="黑体" w:eastAsia="黑体"/>
          <w:highlight w:val="none"/>
          <w:lang w:val="en-US" w:eastAsia="zh-CN"/>
        </w:rPr>
      </w:pPr>
      <w:r>
        <w:rPr>
          <w:rFonts w:hint="eastAsia" w:ascii="黑体" w:hAnsi="黑体" w:eastAsia="黑体"/>
          <w:highlight w:val="none"/>
          <w:lang w:val="en-US" w:eastAsia="zh-CN"/>
        </w:rPr>
        <w:t>五心烦热  dysphoria with feverish sensation in the chest, palms and soles</w:t>
      </w:r>
    </w:p>
    <w:p w14:paraId="70C8D839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两手心、足心发热，且伴心胸烦热，体温不升高</w:t>
      </w:r>
      <w:r>
        <w:rPr>
          <w:rFonts w:hint="eastAsia"/>
          <w:highlight w:val="none"/>
        </w:rPr>
        <w:t>。</w:t>
      </w:r>
    </w:p>
    <w:p w14:paraId="24EEC2A9">
      <w:pPr>
        <w:pStyle w:val="16"/>
        <w:spacing w:line="360" w:lineRule="exact"/>
        <w:ind w:firstLine="0" w:firstLineChars="0"/>
        <w:rPr>
          <w:rFonts w:hint="default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14</w:t>
      </w:r>
    </w:p>
    <w:p w14:paraId="144B4751">
      <w:pPr>
        <w:pStyle w:val="16"/>
        <w:spacing w:line="360" w:lineRule="exact"/>
        <w:ind w:firstLine="420"/>
        <w:rPr>
          <w:rFonts w:hint="default" w:ascii="黑体" w:hAnsi="黑体" w:eastAsia="黑体"/>
          <w:highlight w:val="none"/>
          <w:lang w:val="en-US" w:eastAsia="zh-CN"/>
        </w:rPr>
      </w:pPr>
      <w:r>
        <w:rPr>
          <w:rFonts w:hint="eastAsia" w:ascii="黑体" w:hAnsi="黑体" w:eastAsia="黑体"/>
          <w:highlight w:val="none"/>
          <w:lang w:val="en-US" w:eastAsia="zh-CN"/>
        </w:rPr>
        <w:t>懒言  disinclination to talk</w:t>
      </w:r>
    </w:p>
    <w:p w14:paraId="7799FEB6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不愿言语</w:t>
      </w:r>
      <w:r>
        <w:rPr>
          <w:rFonts w:hint="eastAsia"/>
          <w:highlight w:val="none"/>
        </w:rPr>
        <w:t>。</w:t>
      </w:r>
    </w:p>
    <w:p w14:paraId="5C828797">
      <w:pPr>
        <w:pStyle w:val="16"/>
        <w:spacing w:line="360" w:lineRule="exact"/>
        <w:ind w:firstLine="0" w:firstLineChars="0"/>
        <w:rPr>
          <w:rFonts w:hint="default" w:ascii="黑体" w:hAnsi="黑体" w:eastAsia="黑体"/>
          <w:lang w:val="en-US" w:eastAsia="zh-CN"/>
        </w:rPr>
      </w:pPr>
      <w:r>
        <w:rPr>
          <w:rFonts w:ascii="黑体" w:hAnsi="黑体" w:eastAsia="黑体"/>
        </w:rPr>
        <w:t>3.</w:t>
      </w:r>
      <w:r>
        <w:rPr>
          <w:rFonts w:hint="eastAsia" w:ascii="黑体" w:hAnsi="黑体" w:eastAsia="黑体"/>
          <w:lang w:val="en-US" w:eastAsia="zh-CN"/>
        </w:rPr>
        <w:t>15</w:t>
      </w:r>
    </w:p>
    <w:p w14:paraId="575EA045">
      <w:pPr>
        <w:pStyle w:val="16"/>
        <w:spacing w:line="360" w:lineRule="exact"/>
        <w:ind w:firstLine="420"/>
        <w:rPr>
          <w:rFonts w:hint="default" w:ascii="黑体" w:hAnsi="黑体" w:eastAsia="黑体"/>
          <w:highlight w:val="none"/>
          <w:lang w:val="en-US" w:eastAsia="zh-CN"/>
        </w:rPr>
      </w:pPr>
      <w:r>
        <w:rPr>
          <w:rFonts w:hint="eastAsia" w:ascii="黑体" w:hAnsi="黑体" w:eastAsia="黑体"/>
          <w:highlight w:val="none"/>
          <w:lang w:val="en-US" w:eastAsia="zh-CN"/>
        </w:rPr>
        <w:t>夜尿多  nocturia</w:t>
      </w:r>
    </w:p>
    <w:p w14:paraId="0B7D0CDD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夜间小便次数多及尿量增加</w:t>
      </w:r>
      <w:r>
        <w:rPr>
          <w:rFonts w:hint="eastAsia"/>
          <w:highlight w:val="none"/>
        </w:rPr>
        <w:t>。</w:t>
      </w:r>
    </w:p>
    <w:p w14:paraId="7C015BD9">
      <w:pPr>
        <w:pStyle w:val="15"/>
        <w:numPr>
          <w:ilvl w:val="0"/>
          <w:numId w:val="2"/>
        </w:numPr>
        <w:spacing w:before="240" w:beforeLines="100" w:after="240" w:afterLines="100"/>
        <w:rPr>
          <w:rFonts w:hint="default" w:ascii="Times New Roman"/>
          <w:lang w:val="en-US" w:eastAsia="zh-CN"/>
        </w:rPr>
      </w:pPr>
      <w:r>
        <w:rPr>
          <w:rFonts w:hint="default" w:ascii="Times New Roman"/>
          <w:lang w:val="en-US" w:eastAsia="zh-CN"/>
        </w:rPr>
        <w:t>慢性肾脏病</w:t>
      </w:r>
      <w:r>
        <w:rPr>
          <w:rFonts w:hint="eastAsia" w:ascii="黑体" w:hAnsi="黑体" w:eastAsia="黑体" w:cs="黑体"/>
          <w:lang w:val="en-US" w:eastAsia="zh-CN"/>
        </w:rPr>
        <w:t>3～4</w:t>
      </w:r>
      <w:r>
        <w:rPr>
          <w:rFonts w:hint="default" w:ascii="Times New Roman"/>
          <w:lang w:val="en-US" w:eastAsia="zh-CN"/>
        </w:rPr>
        <w:t>期脾肾气阴两虚证</w:t>
      </w:r>
      <w:r>
        <w:rPr>
          <w:rFonts w:hint="eastAsia" w:ascii="Times New Roman"/>
          <w:lang w:val="en-US" w:eastAsia="zh-CN"/>
        </w:rPr>
        <w:t>中医证候</w:t>
      </w:r>
      <w:r>
        <w:rPr>
          <w:rFonts w:hint="default" w:ascii="Times New Roman"/>
          <w:lang w:val="en-US" w:eastAsia="zh-CN"/>
        </w:rPr>
        <w:t>诊断规范</w:t>
      </w:r>
    </w:p>
    <w:p w14:paraId="35C9B948">
      <w:pPr>
        <w:pStyle w:val="16"/>
        <w:spacing w:line="360" w:lineRule="exact"/>
        <w:ind w:firstLine="0" w:firstLineChars="0"/>
        <w:rPr>
          <w:rFonts w:hint="default" w:ascii="Times New Roman"/>
          <w:color w:val="000000"/>
          <w:lang w:val="en-US"/>
        </w:rPr>
      </w:pPr>
      <w:r>
        <w:rPr>
          <w:rFonts w:hint="eastAsia" w:ascii="黑体" w:hAnsi="黑体" w:eastAsia="黑体"/>
          <w:lang w:val="en-US" w:eastAsia="zh-CN"/>
        </w:rPr>
        <w:t>4</w:t>
      </w:r>
      <w:r>
        <w:rPr>
          <w:rFonts w:ascii="黑体" w:hAnsi="黑体" w:eastAsia="黑体"/>
        </w:rPr>
        <w:t>.1</w:t>
      </w:r>
      <w:r>
        <w:rPr>
          <w:rFonts w:hint="eastAsia" w:ascii="黑体" w:hAnsi="黑体" w:eastAsia="黑体"/>
          <w:lang w:val="en-US" w:eastAsia="zh-CN"/>
        </w:rPr>
        <w:t xml:space="preserve"> 慢性肾脏病3～4期诊断标准</w:t>
      </w:r>
    </w:p>
    <w:p w14:paraId="799D949A">
      <w:pPr>
        <w:pStyle w:val="16"/>
        <w:spacing w:line="360" w:lineRule="exact"/>
        <w:ind w:firstLine="420"/>
        <w:rPr>
          <w:rFonts w:hint="eastAsia" w:ascii="宋体" w:eastAsia="宋体"/>
          <w:lang w:val="en-US" w:eastAsia="zh-CN"/>
        </w:rPr>
      </w:pPr>
      <w:r>
        <w:rPr>
          <w:rFonts w:hint="eastAsia"/>
          <w:lang w:val="en-US" w:eastAsia="zh-CN"/>
        </w:rPr>
        <w:t>慢性肾脏病（CKD）</w:t>
      </w:r>
      <w:r>
        <w:rPr>
          <w:rFonts w:hint="eastAsia"/>
        </w:rPr>
        <w:t>诊断及分期标准依据</w:t>
      </w:r>
      <w:r>
        <w:rPr>
          <w:rFonts w:hint="eastAsia" w:ascii="宋体" w:eastAsia="宋体"/>
          <w:lang w:val="en-US" w:eastAsia="zh-CN"/>
        </w:rPr>
        <w:t>20</w:t>
      </w:r>
      <w:r>
        <w:rPr>
          <w:rFonts w:hint="eastAsia"/>
          <w:lang w:val="en-US" w:eastAsia="zh-CN"/>
        </w:rPr>
        <w:t>24</w:t>
      </w:r>
      <w:r>
        <w:rPr>
          <w:rFonts w:hint="eastAsia" w:ascii="宋体" w:eastAsia="宋体"/>
          <w:lang w:val="en-US" w:eastAsia="zh-CN"/>
        </w:rPr>
        <w:t>年KDIGO发布的《CKD评估与管理临床实践指南》，</w:t>
      </w:r>
      <w:r>
        <w:rPr>
          <w:rFonts w:hint="eastAsia"/>
          <w:lang w:val="en-US" w:eastAsia="zh-CN"/>
        </w:rPr>
        <w:t>其中CKD 3～4期是本标准涉及人群。</w:t>
      </w:r>
      <w:r>
        <w:rPr>
          <w:rFonts w:hint="eastAsia" w:ascii="宋体" w:eastAsia="宋体"/>
          <w:lang w:val="en-US" w:eastAsia="zh-CN"/>
        </w:rPr>
        <w:t>具体见表1、表2。</w:t>
      </w:r>
    </w:p>
    <w:p w14:paraId="7F90EFCF">
      <w:pPr>
        <w:pStyle w:val="16"/>
        <w:spacing w:line="360" w:lineRule="exact"/>
        <w:ind w:firstLine="420"/>
        <w:rPr>
          <w:rFonts w:hint="eastAsia" w:ascii="宋体" w:eastAsia="宋体"/>
          <w:lang w:val="en-US" w:eastAsia="zh-CN"/>
        </w:rPr>
      </w:pPr>
    </w:p>
    <w:p w14:paraId="082F2CE5">
      <w:pPr>
        <w:pStyle w:val="16"/>
        <w:spacing w:line="360" w:lineRule="exact"/>
        <w:ind w:firstLine="420"/>
        <w:jc w:val="center"/>
        <w:rPr>
          <w:rFonts w:hint="default" w:ascii="宋体" w:eastAsia="宋体"/>
          <w:lang w:val="en-US" w:eastAsia="zh-CN"/>
        </w:rPr>
      </w:pPr>
      <w:r>
        <w:rPr>
          <w:rFonts w:hint="default" w:ascii="宋体" w:eastAsia="宋体"/>
          <w:lang w:val="en-US" w:eastAsia="zh-CN"/>
        </w:rPr>
        <w:t>表1</w:t>
      </w:r>
      <w:r>
        <w:rPr>
          <w:rFonts w:hint="eastAsia" w:ascii="宋体" w:eastAsia="宋体"/>
          <w:lang w:val="en-US" w:eastAsia="zh-CN"/>
        </w:rPr>
        <w:t xml:space="preserve">  </w:t>
      </w:r>
      <w:r>
        <w:rPr>
          <w:rFonts w:hint="default" w:ascii="宋体" w:eastAsia="宋体"/>
          <w:lang w:val="en-US" w:eastAsia="zh-CN"/>
        </w:rPr>
        <w:t>CKD诊断标准（符合任意一项&gt;3个月）</w:t>
      </w:r>
    </w:p>
    <w:tbl>
      <w:tblPr>
        <w:tblStyle w:val="9"/>
        <w:tblW w:w="4999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4"/>
        <w:gridCol w:w="5032"/>
      </w:tblGrid>
      <w:tr w14:paraId="08E74B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  <w:jc w:val="center"/>
        </w:trPr>
        <w:tc>
          <w:tcPr>
            <w:tcW w:w="2049" w:type="pct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636A95D1">
            <w:pPr>
              <w:pStyle w:val="16"/>
              <w:spacing w:line="360" w:lineRule="exact"/>
              <w:ind w:left="0" w:leftChars="0" w:firstLine="0" w:firstLineChars="0"/>
              <w:jc w:val="center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诊断标准</w:t>
            </w:r>
          </w:p>
        </w:tc>
        <w:tc>
          <w:tcPr>
            <w:tcW w:w="2950" w:type="pct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2E338A7F">
            <w:pPr>
              <w:pStyle w:val="16"/>
              <w:spacing w:line="360" w:lineRule="exact"/>
              <w:ind w:left="0" w:leftChars="0" w:firstLine="0" w:firstLineChars="0"/>
              <w:jc w:val="center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具体表现</w:t>
            </w:r>
          </w:p>
        </w:tc>
      </w:tr>
      <w:tr w14:paraId="1F9726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2049" w:type="pct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38E9EB05">
            <w:pPr>
              <w:pStyle w:val="16"/>
              <w:spacing w:line="360" w:lineRule="exact"/>
              <w:ind w:left="0" w:leftChars="0" w:firstLine="0" w:firstLineChars="0"/>
              <w:jc w:val="center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肾脏损伤指标（一项或以上）</w:t>
            </w:r>
          </w:p>
        </w:tc>
        <w:tc>
          <w:tcPr>
            <w:tcW w:w="2950" w:type="pct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03BFD034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白</w:t>
            </w:r>
            <w:r>
              <w:rPr>
                <w:rFonts w:hint="default" w:ascii="宋体" w:eastAsia="宋体"/>
                <w:lang w:val="en-US" w:eastAsia="zh-CN"/>
              </w:rPr>
              <w:t>蛋白尿（AER≥30mg/d，ACR≥30mg/g）</w:t>
            </w:r>
            <w:r>
              <w:rPr>
                <w:rFonts w:hint="default" w:ascii="宋体" w:eastAsia="宋体"/>
                <w:vertAlign w:val="superscript"/>
                <w:lang w:val="en-US" w:eastAsia="zh-CN"/>
              </w:rPr>
              <w:t>①</w:t>
            </w:r>
          </w:p>
        </w:tc>
      </w:tr>
      <w:tr w14:paraId="7A7258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1" w:hRule="atLeast"/>
          <w:jc w:val="center"/>
        </w:trPr>
        <w:tc>
          <w:tcPr>
            <w:tcW w:w="2049" w:type="pct"/>
            <w:tcBorders>
              <w:top w:val="nil"/>
              <w:bottom w:val="nil"/>
            </w:tcBorders>
            <w:noWrap w:val="0"/>
            <w:vAlign w:val="center"/>
          </w:tcPr>
          <w:p w14:paraId="577871D0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</w:p>
        </w:tc>
        <w:tc>
          <w:tcPr>
            <w:tcW w:w="2950" w:type="pct"/>
            <w:tcBorders>
              <w:top w:val="nil"/>
              <w:bottom w:val="nil"/>
            </w:tcBorders>
            <w:noWrap w:val="0"/>
            <w:vAlign w:val="center"/>
          </w:tcPr>
          <w:p w14:paraId="6DED3B76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尿沉渣异常</w:t>
            </w:r>
          </w:p>
        </w:tc>
      </w:tr>
      <w:tr w14:paraId="19DC6C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1" w:hRule="atLeast"/>
          <w:jc w:val="center"/>
        </w:trPr>
        <w:tc>
          <w:tcPr>
            <w:tcW w:w="2049" w:type="pct"/>
            <w:tcBorders>
              <w:top w:val="nil"/>
              <w:bottom w:val="nil"/>
            </w:tcBorders>
            <w:noWrap w:val="0"/>
            <w:vAlign w:val="center"/>
          </w:tcPr>
          <w:p w14:paraId="6DAD9C73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</w:p>
        </w:tc>
        <w:tc>
          <w:tcPr>
            <w:tcW w:w="2950" w:type="pct"/>
            <w:tcBorders>
              <w:top w:val="nil"/>
              <w:bottom w:val="nil"/>
            </w:tcBorders>
            <w:noWrap w:val="0"/>
            <w:vAlign w:val="center"/>
          </w:tcPr>
          <w:p w14:paraId="58E5B8A2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肾小管病变引起的电解质和其他异常</w:t>
            </w:r>
          </w:p>
        </w:tc>
      </w:tr>
      <w:tr w14:paraId="055275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1" w:hRule="atLeast"/>
          <w:jc w:val="center"/>
        </w:trPr>
        <w:tc>
          <w:tcPr>
            <w:tcW w:w="2049" w:type="pct"/>
            <w:tcBorders>
              <w:top w:val="nil"/>
              <w:bottom w:val="nil"/>
            </w:tcBorders>
            <w:noWrap w:val="0"/>
            <w:vAlign w:val="center"/>
          </w:tcPr>
          <w:p w14:paraId="782B8513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</w:p>
        </w:tc>
        <w:tc>
          <w:tcPr>
            <w:tcW w:w="2950" w:type="pct"/>
            <w:tcBorders>
              <w:top w:val="nil"/>
              <w:bottom w:val="nil"/>
            </w:tcBorders>
            <w:noWrap w:val="0"/>
            <w:vAlign w:val="center"/>
          </w:tcPr>
          <w:p w14:paraId="7E2D4A71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组织学检测出的异常</w:t>
            </w:r>
          </w:p>
        </w:tc>
      </w:tr>
      <w:tr w14:paraId="6773A2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1" w:hRule="atLeast"/>
          <w:jc w:val="center"/>
        </w:trPr>
        <w:tc>
          <w:tcPr>
            <w:tcW w:w="2049" w:type="pct"/>
            <w:tcBorders>
              <w:top w:val="nil"/>
              <w:bottom w:val="nil"/>
            </w:tcBorders>
            <w:noWrap w:val="0"/>
            <w:vAlign w:val="center"/>
          </w:tcPr>
          <w:p w14:paraId="26D8C5D2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</w:p>
        </w:tc>
        <w:tc>
          <w:tcPr>
            <w:tcW w:w="2950" w:type="pct"/>
            <w:tcBorders>
              <w:top w:val="nil"/>
              <w:bottom w:val="nil"/>
            </w:tcBorders>
            <w:noWrap w:val="0"/>
            <w:vAlign w:val="center"/>
          </w:tcPr>
          <w:p w14:paraId="3590DA4A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影像学检查出的结构异常</w:t>
            </w:r>
          </w:p>
        </w:tc>
      </w:tr>
      <w:tr w14:paraId="6A98A1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1" w:hRule="atLeast"/>
          <w:jc w:val="center"/>
        </w:trPr>
        <w:tc>
          <w:tcPr>
            <w:tcW w:w="2049" w:type="pct"/>
            <w:tcBorders>
              <w:top w:val="nil"/>
              <w:bottom w:val="nil"/>
            </w:tcBorders>
            <w:noWrap w:val="0"/>
            <w:vAlign w:val="center"/>
          </w:tcPr>
          <w:p w14:paraId="62D51B26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</w:p>
        </w:tc>
        <w:tc>
          <w:tcPr>
            <w:tcW w:w="2950" w:type="pct"/>
            <w:tcBorders>
              <w:top w:val="nil"/>
              <w:bottom w:val="nil"/>
            </w:tcBorders>
            <w:noWrap w:val="0"/>
            <w:vAlign w:val="center"/>
          </w:tcPr>
          <w:p w14:paraId="59DCA611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肾脏移植病史</w:t>
            </w:r>
          </w:p>
        </w:tc>
      </w:tr>
      <w:tr w14:paraId="42DB5D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1" w:hRule="atLeast"/>
          <w:jc w:val="center"/>
        </w:trPr>
        <w:tc>
          <w:tcPr>
            <w:tcW w:w="2049" w:type="pct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74C062E6">
            <w:pPr>
              <w:pStyle w:val="16"/>
              <w:spacing w:line="360" w:lineRule="exact"/>
              <w:ind w:left="0" w:leftChars="0" w:firstLine="0" w:firstLineChars="0"/>
              <w:jc w:val="center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肾小球滤过率（GFR）</w:t>
            </w:r>
            <w:r>
              <w:rPr>
                <w:rFonts w:hint="default" w:ascii="宋体" w:eastAsia="宋体"/>
                <w:lang w:val="en-US" w:eastAsia="zh-CN"/>
              </w:rPr>
              <w:t>滤过率下降</w:t>
            </w:r>
          </w:p>
        </w:tc>
        <w:tc>
          <w:tcPr>
            <w:tcW w:w="2950" w:type="pct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0997B538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GFR&lt;60ml/min/1.73m2</w:t>
            </w:r>
          </w:p>
        </w:tc>
      </w:tr>
    </w:tbl>
    <w:p w14:paraId="4FF6B29F">
      <w:pPr>
        <w:pStyle w:val="16"/>
        <w:spacing w:line="360" w:lineRule="exact"/>
        <w:ind w:firstLine="420"/>
        <w:rPr>
          <w:rFonts w:hint="default" w:ascii="宋体" w:eastAsia="宋体"/>
          <w:lang w:val="en-US" w:eastAsia="zh-CN"/>
        </w:rPr>
      </w:pPr>
      <w:r>
        <w:rPr>
          <w:rFonts w:hint="default" w:ascii="宋体" w:eastAsia="宋体"/>
          <w:lang w:val="en-US" w:eastAsia="zh-CN"/>
        </w:rPr>
        <w:t>注：①AER为尿白蛋白排泄率，ACR为尿白蛋白/肌酐值。</w:t>
      </w:r>
    </w:p>
    <w:p w14:paraId="552A3A9C">
      <w:pPr>
        <w:pStyle w:val="16"/>
        <w:spacing w:line="360" w:lineRule="exact"/>
        <w:ind w:left="0" w:leftChars="0" w:firstLine="0" w:firstLineChars="0"/>
        <w:jc w:val="both"/>
        <w:rPr>
          <w:rFonts w:hint="default" w:ascii="宋体" w:eastAsia="宋体"/>
          <w:lang w:val="en-US" w:eastAsia="zh-CN"/>
        </w:rPr>
      </w:pPr>
    </w:p>
    <w:p w14:paraId="025F8E22">
      <w:pPr>
        <w:pStyle w:val="16"/>
        <w:spacing w:line="360" w:lineRule="exact"/>
        <w:ind w:firstLine="420"/>
        <w:jc w:val="center"/>
        <w:rPr>
          <w:rFonts w:hint="default" w:ascii="宋体" w:eastAsia="宋体"/>
          <w:lang w:val="en-US" w:eastAsia="zh-CN"/>
        </w:rPr>
      </w:pPr>
      <w:r>
        <w:rPr>
          <w:rFonts w:hint="default" w:ascii="宋体" w:eastAsia="宋体"/>
          <w:lang w:val="en-US" w:eastAsia="zh-CN"/>
        </w:rPr>
        <w:t>表2</w:t>
      </w:r>
      <w:r>
        <w:rPr>
          <w:rFonts w:hint="eastAsia" w:ascii="宋体" w:eastAsia="宋体"/>
          <w:lang w:val="en-US" w:eastAsia="zh-CN"/>
        </w:rPr>
        <w:t xml:space="preserve">  </w:t>
      </w:r>
      <w:r>
        <w:rPr>
          <w:rFonts w:hint="default" w:ascii="宋体" w:eastAsia="宋体"/>
          <w:lang w:val="en-US" w:eastAsia="zh-CN"/>
        </w:rPr>
        <w:t>CKD分期标准</w:t>
      </w:r>
    </w:p>
    <w:tbl>
      <w:tblPr>
        <w:tblStyle w:val="9"/>
        <w:tblW w:w="499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8"/>
        <w:gridCol w:w="4076"/>
        <w:gridCol w:w="2551"/>
      </w:tblGrid>
      <w:tr w14:paraId="28EA98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7" w:hRule="atLeast"/>
          <w:jc w:val="center"/>
        </w:trPr>
        <w:tc>
          <w:tcPr>
            <w:tcW w:w="1113" w:type="pct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7298A002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CKD分期</w:t>
            </w:r>
          </w:p>
        </w:tc>
        <w:tc>
          <w:tcPr>
            <w:tcW w:w="2390" w:type="pct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13C5204B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GFR（ml/min/1.73m</w:t>
            </w:r>
            <w:r>
              <w:rPr>
                <w:rFonts w:hint="default" w:ascii="宋体" w:eastAsia="宋体"/>
                <w:vertAlign w:val="superscript"/>
                <w:lang w:val="en-US" w:eastAsia="zh-CN"/>
              </w:rPr>
              <w:t>2</w:t>
            </w:r>
            <w:r>
              <w:rPr>
                <w:rFonts w:hint="default" w:ascii="宋体" w:eastAsia="宋体"/>
                <w:lang w:val="en-US" w:eastAsia="zh-CN"/>
              </w:rPr>
              <w:t>）</w:t>
            </w:r>
          </w:p>
        </w:tc>
        <w:tc>
          <w:tcPr>
            <w:tcW w:w="1496" w:type="pct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4B0D217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描述</w:t>
            </w:r>
          </w:p>
        </w:tc>
      </w:tr>
      <w:tr w14:paraId="2E43E3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113" w:type="pct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5CA28C61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1期</w:t>
            </w:r>
          </w:p>
        </w:tc>
        <w:tc>
          <w:tcPr>
            <w:tcW w:w="2390" w:type="pct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0ED2A103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≥90</w:t>
            </w:r>
          </w:p>
        </w:tc>
        <w:tc>
          <w:tcPr>
            <w:tcW w:w="1496" w:type="pct"/>
            <w:tcBorders>
              <w:top w:val="single" w:color="auto" w:sz="4" w:space="0"/>
              <w:bottom w:val="nil"/>
            </w:tcBorders>
            <w:noWrap w:val="0"/>
            <w:vAlign w:val="center"/>
          </w:tcPr>
          <w:p w14:paraId="4B7424AB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正常或升高</w:t>
            </w:r>
          </w:p>
        </w:tc>
      </w:tr>
      <w:tr w14:paraId="3EC1AA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1" w:hRule="atLeast"/>
          <w:jc w:val="center"/>
        </w:trPr>
        <w:tc>
          <w:tcPr>
            <w:tcW w:w="1113" w:type="pct"/>
            <w:tcBorders>
              <w:top w:val="nil"/>
              <w:bottom w:val="nil"/>
            </w:tcBorders>
            <w:noWrap w:val="0"/>
            <w:vAlign w:val="center"/>
          </w:tcPr>
          <w:p w14:paraId="7F89DE90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2期</w:t>
            </w:r>
          </w:p>
        </w:tc>
        <w:tc>
          <w:tcPr>
            <w:tcW w:w="2390" w:type="pct"/>
            <w:tcBorders>
              <w:top w:val="nil"/>
              <w:bottom w:val="nil"/>
            </w:tcBorders>
            <w:noWrap w:val="0"/>
            <w:vAlign w:val="center"/>
          </w:tcPr>
          <w:p w14:paraId="3A2AA34B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60-89</w:t>
            </w:r>
          </w:p>
        </w:tc>
        <w:tc>
          <w:tcPr>
            <w:tcW w:w="1496" w:type="pct"/>
            <w:tcBorders>
              <w:top w:val="nil"/>
              <w:bottom w:val="nil"/>
            </w:tcBorders>
            <w:noWrap w:val="0"/>
            <w:vAlign w:val="center"/>
          </w:tcPr>
          <w:p w14:paraId="5423A541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轻度下降</w:t>
            </w:r>
          </w:p>
        </w:tc>
      </w:tr>
      <w:tr w14:paraId="57B0B2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1" w:hRule="atLeast"/>
          <w:jc w:val="center"/>
        </w:trPr>
        <w:tc>
          <w:tcPr>
            <w:tcW w:w="1113" w:type="pct"/>
            <w:tcBorders>
              <w:top w:val="nil"/>
              <w:bottom w:val="nil"/>
            </w:tcBorders>
            <w:noWrap w:val="0"/>
            <w:vAlign w:val="center"/>
          </w:tcPr>
          <w:p w14:paraId="3CE57521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3期</w:t>
            </w:r>
          </w:p>
        </w:tc>
        <w:tc>
          <w:tcPr>
            <w:tcW w:w="2390" w:type="pct"/>
            <w:tcBorders>
              <w:top w:val="nil"/>
              <w:bottom w:val="nil"/>
            </w:tcBorders>
            <w:noWrap w:val="0"/>
            <w:vAlign w:val="center"/>
          </w:tcPr>
          <w:p w14:paraId="423631BF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30-59</w:t>
            </w:r>
          </w:p>
        </w:tc>
        <w:tc>
          <w:tcPr>
            <w:tcW w:w="1496" w:type="pct"/>
            <w:tcBorders>
              <w:top w:val="nil"/>
              <w:bottom w:val="nil"/>
            </w:tcBorders>
            <w:noWrap w:val="0"/>
            <w:vAlign w:val="center"/>
          </w:tcPr>
          <w:p w14:paraId="4C08AABC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轻至重度下降</w:t>
            </w:r>
          </w:p>
        </w:tc>
      </w:tr>
      <w:tr w14:paraId="125CA2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1" w:hRule="atLeast"/>
          <w:jc w:val="center"/>
        </w:trPr>
        <w:tc>
          <w:tcPr>
            <w:tcW w:w="1113" w:type="pct"/>
            <w:tcBorders>
              <w:top w:val="nil"/>
              <w:bottom w:val="nil"/>
            </w:tcBorders>
            <w:noWrap w:val="0"/>
            <w:vAlign w:val="center"/>
          </w:tcPr>
          <w:p w14:paraId="79F7771A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4期</w:t>
            </w:r>
          </w:p>
        </w:tc>
        <w:tc>
          <w:tcPr>
            <w:tcW w:w="2390" w:type="pct"/>
            <w:tcBorders>
              <w:top w:val="nil"/>
              <w:bottom w:val="nil"/>
            </w:tcBorders>
            <w:noWrap w:val="0"/>
            <w:vAlign w:val="center"/>
          </w:tcPr>
          <w:p w14:paraId="67AF6C6E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15-29</w:t>
            </w:r>
          </w:p>
        </w:tc>
        <w:tc>
          <w:tcPr>
            <w:tcW w:w="1496" w:type="pct"/>
            <w:tcBorders>
              <w:top w:val="nil"/>
              <w:bottom w:val="nil"/>
            </w:tcBorders>
            <w:noWrap w:val="0"/>
            <w:vAlign w:val="center"/>
          </w:tcPr>
          <w:p w14:paraId="2686E40D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重度下降</w:t>
            </w:r>
          </w:p>
        </w:tc>
      </w:tr>
      <w:tr w14:paraId="75EA3E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61" w:hRule="atLeast"/>
          <w:jc w:val="center"/>
        </w:trPr>
        <w:tc>
          <w:tcPr>
            <w:tcW w:w="1113" w:type="pct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1EC101CD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5期</w:t>
            </w:r>
          </w:p>
        </w:tc>
        <w:tc>
          <w:tcPr>
            <w:tcW w:w="2390" w:type="pct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3629D353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&lt;15</w:t>
            </w:r>
          </w:p>
        </w:tc>
        <w:tc>
          <w:tcPr>
            <w:tcW w:w="1496" w:type="pct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7820DA13">
            <w:pPr>
              <w:pStyle w:val="16"/>
              <w:spacing w:line="360" w:lineRule="exact"/>
              <w:ind w:firstLine="420"/>
              <w:rPr>
                <w:rFonts w:hint="default" w:ascii="宋体" w:eastAsia="宋体"/>
                <w:lang w:val="en-US" w:eastAsia="zh-CN"/>
              </w:rPr>
            </w:pPr>
            <w:r>
              <w:rPr>
                <w:rFonts w:hint="default" w:ascii="宋体" w:eastAsia="宋体"/>
                <w:lang w:val="en-US" w:eastAsia="zh-CN"/>
              </w:rPr>
              <w:t>肾功能衰竭</w:t>
            </w:r>
          </w:p>
        </w:tc>
      </w:tr>
    </w:tbl>
    <w:p w14:paraId="20CC527C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157" w:afterLines="50" w:line="360" w:lineRule="exact"/>
        <w:ind w:firstLine="420"/>
        <w:textAlignment w:val="auto"/>
        <w:rPr>
          <w:rFonts w:hint="default" w:ascii="宋体" w:eastAsia="宋体"/>
          <w:lang w:val="en-US" w:eastAsia="zh-CN"/>
        </w:rPr>
      </w:pPr>
      <w:r>
        <w:rPr>
          <w:rFonts w:hint="default" w:ascii="宋体" w:eastAsia="宋体"/>
          <w:lang w:val="en-US" w:eastAsia="zh-CN"/>
        </w:rPr>
        <w:t>注：GFR为肾小球滤过率</w:t>
      </w:r>
      <w:r>
        <w:rPr>
          <w:rFonts w:hint="eastAsia" w:ascii="宋体" w:eastAsia="宋体"/>
          <w:lang w:val="en-US" w:eastAsia="zh-CN"/>
        </w:rPr>
        <w:t>，本文件中采用CKD-EPI</w:t>
      </w:r>
      <w:r>
        <w:rPr>
          <w:rFonts w:hint="eastAsia" w:ascii="宋体" w:eastAsia="宋体"/>
          <w:vertAlign w:val="subscript"/>
          <w:lang w:val="en-US" w:eastAsia="zh-CN"/>
        </w:rPr>
        <w:t>Cr</w:t>
      </w:r>
      <w:r>
        <w:rPr>
          <w:rFonts w:hint="eastAsia" w:ascii="宋体" w:eastAsia="宋体"/>
          <w:lang w:val="en-US" w:eastAsia="zh-CN"/>
        </w:rPr>
        <w:t>公式进行估算GFR。</w:t>
      </w:r>
    </w:p>
    <w:p w14:paraId="489E7CCD">
      <w:pPr>
        <w:pStyle w:val="16"/>
        <w:spacing w:line="360" w:lineRule="exact"/>
        <w:ind w:firstLine="0" w:firstLineChars="0"/>
        <w:rPr>
          <w:rFonts w:hint="eastAsia" w:ascii="黑体" w:hAnsi="黑体" w:eastAsia="黑体"/>
          <w:lang w:val="en-US" w:eastAsia="zh-CN"/>
        </w:rPr>
      </w:pPr>
    </w:p>
    <w:p w14:paraId="12BD8BC1">
      <w:pPr>
        <w:pStyle w:val="16"/>
        <w:spacing w:line="360" w:lineRule="exact"/>
        <w:ind w:firstLine="0" w:firstLineChars="0"/>
        <w:rPr>
          <w:rFonts w:hint="default" w:ascii="Times New Roman"/>
          <w:color w:val="000000"/>
          <w:lang w:val="en-US"/>
        </w:rPr>
      </w:pPr>
      <w:r>
        <w:rPr>
          <w:rFonts w:hint="eastAsia" w:ascii="黑体" w:hAnsi="黑体" w:eastAsia="黑体"/>
          <w:lang w:val="en-US" w:eastAsia="zh-CN"/>
        </w:rPr>
        <w:t>4</w:t>
      </w:r>
      <w:r>
        <w:rPr>
          <w:rFonts w:ascii="黑体" w:hAnsi="黑体" w:eastAsia="黑体"/>
        </w:rPr>
        <w:t>.</w:t>
      </w:r>
      <w:r>
        <w:rPr>
          <w:rFonts w:hint="eastAsia" w:ascii="黑体" w:hAnsi="黑体" w:eastAsia="黑体"/>
          <w:lang w:val="en-US" w:eastAsia="zh-CN"/>
        </w:rPr>
        <w:t>2 慢性肾脏病3～4期脾肾气阴两虚证诊断量表</w:t>
      </w:r>
    </w:p>
    <w:p w14:paraId="737A635B">
      <w:pPr>
        <w:pStyle w:val="16"/>
        <w:spacing w:line="360" w:lineRule="exact"/>
        <w:ind w:firstLine="42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符合CKD</w:t>
      </w:r>
      <w:r>
        <w:rPr>
          <w:rFonts w:hint="eastAsia"/>
        </w:rPr>
        <w:t>诊断</w:t>
      </w:r>
      <w:r>
        <w:rPr>
          <w:rFonts w:hint="eastAsia"/>
          <w:lang w:val="en-US" w:eastAsia="zh-CN"/>
        </w:rPr>
        <w:t>并属于CKD 3～4期的患者，参照表3进行证候判断。如权重分值≥15分，即可诊断为CKD 3～4期脾肾气阴两虚证。</w:t>
      </w:r>
    </w:p>
    <w:p w14:paraId="1C3C8125">
      <w:pPr>
        <w:pStyle w:val="16"/>
        <w:spacing w:line="360" w:lineRule="exact"/>
        <w:ind w:firstLine="420"/>
        <w:rPr>
          <w:rFonts w:hint="default"/>
          <w:lang w:val="en-US" w:eastAsia="zh-CN"/>
        </w:rPr>
      </w:pPr>
    </w:p>
    <w:p w14:paraId="11EE8333">
      <w:pPr>
        <w:pStyle w:val="16"/>
        <w:spacing w:line="360" w:lineRule="exact"/>
        <w:ind w:left="0" w:leftChars="0" w:firstLine="0" w:firstLineChars="0"/>
        <w:jc w:val="center"/>
        <w:rPr>
          <w:rFonts w:hint="eastAsia" w:ascii="宋体" w:eastAsia="宋体"/>
          <w:lang w:val="en-US" w:eastAsia="zh-CN"/>
        </w:rPr>
      </w:pPr>
      <w:r>
        <w:rPr>
          <w:rFonts w:hint="default" w:ascii="宋体" w:eastAsia="宋体"/>
          <w:lang w:val="en-US" w:eastAsia="zh-CN"/>
        </w:rPr>
        <w:t>表</w:t>
      </w:r>
      <w:r>
        <w:rPr>
          <w:rFonts w:hint="eastAsia" w:ascii="宋体" w:eastAsia="宋体"/>
          <w:lang w:val="en-US" w:eastAsia="zh-CN"/>
        </w:rPr>
        <w:t xml:space="preserve">3  </w:t>
      </w:r>
      <w:r>
        <w:rPr>
          <w:rFonts w:hint="default" w:ascii="宋体" w:eastAsia="宋体"/>
          <w:lang w:val="en-US" w:eastAsia="zh-CN"/>
        </w:rPr>
        <w:t>CKD 3～4期脾肾气阴两虚证诊断</w:t>
      </w:r>
      <w:r>
        <w:rPr>
          <w:rFonts w:hint="eastAsia" w:ascii="宋体" w:eastAsia="宋体"/>
          <w:lang w:val="en-US" w:eastAsia="zh-CN"/>
        </w:rPr>
        <w:t>条目及权重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1EE08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single" w:color="auto" w:sz="4" w:space="0"/>
              <w:tl2br w:val="nil"/>
            </w:tcBorders>
            <w:shd w:val="clear" w:color="auto" w:fill="FFFFFF"/>
          </w:tcPr>
          <w:p w14:paraId="3BB2E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层次</w:t>
            </w:r>
          </w:p>
        </w:tc>
        <w:tc>
          <w:tcPr>
            <w:tcW w:w="2841" w:type="dxa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nil"/>
            </w:tcBorders>
            <w:shd w:val="clear" w:color="auto" w:fill="FFFFFF"/>
          </w:tcPr>
          <w:p w14:paraId="18CBD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条目</w:t>
            </w:r>
          </w:p>
        </w:tc>
        <w:tc>
          <w:tcPr>
            <w:tcW w:w="2841" w:type="dxa"/>
            <w:tcBorders>
              <w:top w:val="single" w:color="000000" w:sz="12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</w:tcPr>
          <w:p w14:paraId="2F0EA2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权重值分</w:t>
            </w:r>
          </w:p>
        </w:tc>
      </w:tr>
      <w:tr w14:paraId="497DA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802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临床症状</w:t>
            </w:r>
          </w:p>
        </w:tc>
        <w:tc>
          <w:tcPr>
            <w:tcW w:w="2841" w:type="dxa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15A1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神疲乏力</w:t>
            </w:r>
          </w:p>
        </w:tc>
        <w:tc>
          <w:tcPr>
            <w:tcW w:w="2841" w:type="dxa"/>
            <w:tcBorders>
              <w:top w:val="single" w:color="000000" w:sz="4" w:space="0"/>
              <w:left w:val="nil"/>
              <w:bottom w:val="nil"/>
              <w:right w:val="single" w:color="auto" w:sz="4" w:space="0"/>
            </w:tcBorders>
            <w:shd w:val="clear" w:color="auto" w:fill="FFFFFF"/>
          </w:tcPr>
          <w:p w14:paraId="3C673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</w:tr>
      <w:tr w14:paraId="59B17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757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b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7BE9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腰膝酸软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</w:tcPr>
          <w:p w14:paraId="061133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</w:tr>
      <w:tr w14:paraId="5569F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E08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57D7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气短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top"/>
          </w:tcPr>
          <w:p w14:paraId="22475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  <w:tr w14:paraId="07ED4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B56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F14F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口干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top"/>
          </w:tcPr>
          <w:p w14:paraId="72E22D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  <w:tr w14:paraId="45649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8B6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2F35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五心烦热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top"/>
          </w:tcPr>
          <w:p w14:paraId="50B43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  <w:tr w14:paraId="64851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606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1102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腰痛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top"/>
          </w:tcPr>
          <w:p w14:paraId="3392D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  <w:tr w14:paraId="0EECC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20AB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89A8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懒言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vAlign w:val="top"/>
          </w:tcPr>
          <w:p w14:paraId="15941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785FE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F46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CC56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夜尿增多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top"/>
          </w:tcPr>
          <w:p w14:paraId="4C445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4F433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A79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舌象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E755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舌淡有齿痕</w:t>
            </w:r>
          </w:p>
        </w:tc>
        <w:tc>
          <w:tcPr>
            <w:tcW w:w="284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</w:tcPr>
          <w:p w14:paraId="7908C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  <w:tr w14:paraId="126AC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F975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b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78BC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少苔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CF6C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  <w:tr w14:paraId="7E8DB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5960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脉象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F136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脉沉细</w:t>
            </w:r>
          </w:p>
        </w:tc>
        <w:tc>
          <w:tcPr>
            <w:tcW w:w="284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top"/>
          </w:tcPr>
          <w:p w14:paraId="74393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  <w:tr w14:paraId="4206D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840" w:type="dxa"/>
            <w:vMerge w:val="continue"/>
            <w:tcBorders>
              <w:left w:val="single" w:color="auto" w:sz="4" w:space="0"/>
              <w:bottom w:val="single" w:color="000000" w:sz="12" w:space="0"/>
              <w:right w:val="single" w:color="auto" w:sz="4" w:space="0"/>
            </w:tcBorders>
            <w:shd w:val="clear" w:color="auto" w:fill="FFFFFF"/>
          </w:tcPr>
          <w:p w14:paraId="2FB89C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ascii="Times New Roman" w:hAnsi="Times New Roman"/>
                <w:b w:val="0"/>
                <w:color w:val="000000"/>
                <w:sz w:val="21"/>
                <w:szCs w:val="21"/>
                <w:vertAlign w:val="baseline"/>
              </w:rPr>
            </w:pPr>
          </w:p>
        </w:tc>
        <w:tc>
          <w:tcPr>
            <w:tcW w:w="2841" w:type="dxa"/>
            <w:tcBorders>
              <w:top w:val="nil"/>
              <w:left w:val="single" w:color="auto" w:sz="4" w:space="0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DF88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脉弱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000000" w:sz="12" w:space="0"/>
              <w:right w:val="single" w:color="auto" w:sz="4" w:space="0"/>
            </w:tcBorders>
            <w:shd w:val="clear" w:color="auto" w:fill="FFFFFF"/>
            <w:vAlign w:val="top"/>
          </w:tcPr>
          <w:p w14:paraId="07510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</w:tr>
    </w:tbl>
    <w:p w14:paraId="242332BE">
      <w:pPr>
        <w:pStyle w:val="16"/>
        <w:spacing w:line="360" w:lineRule="exact"/>
        <w:ind w:firstLine="420"/>
        <w:rPr>
          <w:rFonts w:hint="eastAsia"/>
        </w:rPr>
      </w:pPr>
    </w:p>
    <w:p w14:paraId="08F42206">
      <w:pPr>
        <w:pStyle w:val="16"/>
        <w:tabs>
          <w:tab w:val="center" w:pos="4201"/>
          <w:tab w:val="right" w:leader="dot" w:pos="9298"/>
        </w:tabs>
        <w:spacing w:line="360" w:lineRule="exact"/>
        <w:ind w:firstLine="420"/>
        <w:rPr>
          <w:rFonts w:ascii="Times New Roman"/>
          <w:color w:val="000000"/>
        </w:rPr>
      </w:pPr>
    </w:p>
    <w:p w14:paraId="301C36FD">
      <w:pPr>
        <w:pStyle w:val="16"/>
        <w:tabs>
          <w:tab w:val="center" w:pos="4201"/>
          <w:tab w:val="right" w:leader="dot" w:pos="9298"/>
        </w:tabs>
        <w:spacing w:line="360" w:lineRule="exact"/>
        <w:ind w:firstLine="420"/>
        <w:rPr>
          <w:rFonts w:ascii="Times New Roman"/>
          <w:color w:val="000000"/>
        </w:rPr>
      </w:pPr>
    </w:p>
    <w:p w14:paraId="0DB76910">
      <w:pPr>
        <w:pStyle w:val="16"/>
        <w:tabs>
          <w:tab w:val="center" w:pos="4201"/>
          <w:tab w:val="right" w:leader="dot" w:pos="9298"/>
        </w:tabs>
        <w:spacing w:line="360" w:lineRule="exact"/>
        <w:ind w:firstLine="420"/>
        <w:rPr>
          <w:rFonts w:ascii="Times New Roman"/>
          <w:color w:val="000000"/>
        </w:rPr>
      </w:pPr>
    </w:p>
    <w:p w14:paraId="66B70040">
      <w:pPr>
        <w:pStyle w:val="16"/>
        <w:tabs>
          <w:tab w:val="center" w:pos="4201"/>
          <w:tab w:val="right" w:leader="dot" w:pos="9298"/>
        </w:tabs>
        <w:spacing w:line="360" w:lineRule="exact"/>
        <w:ind w:firstLine="420"/>
        <w:rPr>
          <w:rFonts w:ascii="Times New Roman"/>
          <w:color w:val="000000"/>
        </w:rPr>
      </w:pPr>
    </w:p>
    <w:p w14:paraId="029AC6F6">
      <w:pPr>
        <w:pStyle w:val="16"/>
        <w:tabs>
          <w:tab w:val="center" w:pos="4201"/>
          <w:tab w:val="right" w:leader="dot" w:pos="9298"/>
        </w:tabs>
        <w:spacing w:line="360" w:lineRule="exact"/>
        <w:ind w:firstLine="420"/>
        <w:rPr>
          <w:rFonts w:ascii="Times New Roman"/>
          <w:color w:val="000000"/>
        </w:rPr>
      </w:pPr>
    </w:p>
    <w:p w14:paraId="70A0E6FC">
      <w:pPr>
        <w:pStyle w:val="16"/>
        <w:tabs>
          <w:tab w:val="left" w:pos="269"/>
          <w:tab w:val="right" w:leader="dot" w:pos="9298"/>
        </w:tabs>
        <w:spacing w:line="360" w:lineRule="exact"/>
        <w:ind w:left="0" w:leftChars="0" w:firstLine="0" w:firstLineChars="0"/>
        <w:rPr>
          <w:rFonts w:ascii="黑体" w:hAnsi="黑体" w:eastAsia="黑体" w:cs="Times New Roman"/>
          <w:kern w:val="0"/>
          <w:szCs w:val="21"/>
        </w:rPr>
      </w:pPr>
      <w:r>
        <w:rPr>
          <w:rFonts w:hint="eastAsia" w:ascii="Times New Roman"/>
          <w:color w:val="000000"/>
          <w:lang w:eastAsia="zh-CN"/>
        </w:rPr>
        <w:tab/>
      </w:r>
      <w:bookmarkEnd w:id="18"/>
      <w:bookmarkEnd w:id="19"/>
    </w:p>
    <w:p w14:paraId="5CDD9C66">
      <w:pPr>
        <w:rPr>
          <w:rFonts w:hint="eastAsia"/>
          <w:b/>
          <w:bCs/>
        </w:rPr>
      </w:pPr>
      <w:r>
        <w:rPr>
          <w:rFonts w:hint="eastAsia"/>
          <w:b/>
          <w:bCs/>
        </w:rPr>
        <w:br w:type="page"/>
      </w:r>
    </w:p>
    <w:p w14:paraId="2C15369B">
      <w:pPr>
        <w:pStyle w:val="23"/>
        <w:keepNext w:val="0"/>
        <w:keepLines w:val="0"/>
        <w:pageBreakBefore w:val="0"/>
        <w:widowControl/>
        <w:shd w:val="clear" w:color="FFFFFF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附 录 A</w:t>
      </w:r>
    </w:p>
    <w:p w14:paraId="62234193">
      <w:pPr>
        <w:jc w:val="center"/>
        <w:rPr>
          <w:rFonts w:ascii="黑体" w:hAnsi="黑体" w:eastAsia="黑体" w:cs="Times New Roman"/>
          <w:kern w:val="0"/>
          <w:szCs w:val="21"/>
        </w:rPr>
      </w:pPr>
      <w:r>
        <w:rPr>
          <w:rFonts w:hint="eastAsia" w:ascii="黑体" w:hAnsi="黑体" w:eastAsia="黑体" w:cs="Times New Roman"/>
          <w:kern w:val="0"/>
          <w:szCs w:val="21"/>
        </w:rPr>
        <w:t>（</w:t>
      </w:r>
      <w:bookmarkStart w:id="24" w:name="_Hlk92788726"/>
      <w:r>
        <w:rPr>
          <w:rFonts w:hint="eastAsia" w:ascii="黑体" w:hAnsi="黑体" w:eastAsia="黑体" w:cs="Times New Roman"/>
          <w:kern w:val="0"/>
          <w:szCs w:val="21"/>
        </w:rPr>
        <w:t>资料性</w:t>
      </w:r>
      <w:bookmarkEnd w:id="24"/>
      <w:r>
        <w:rPr>
          <w:rFonts w:hint="eastAsia" w:ascii="黑体" w:hAnsi="黑体" w:eastAsia="黑体" w:cs="Times New Roman"/>
          <w:kern w:val="0"/>
          <w:szCs w:val="21"/>
        </w:rPr>
        <w:t>）</w:t>
      </w:r>
    </w:p>
    <w:p w14:paraId="24FF75B0">
      <w:pPr>
        <w:jc w:val="center"/>
        <w:rPr>
          <w:rFonts w:hint="eastAsia" w:ascii="黑体" w:hAnsi="黑体" w:eastAsia="黑体" w:cs="Times New Roman"/>
          <w:kern w:val="0"/>
          <w:szCs w:val="21"/>
          <w:lang w:val="en-US" w:eastAsia="zh-CN"/>
        </w:rPr>
      </w:pPr>
    </w:p>
    <w:p w14:paraId="45155F51">
      <w:pPr>
        <w:jc w:val="center"/>
        <w:rPr>
          <w:rFonts w:hint="eastAsia" w:ascii="黑体" w:hAnsi="黑体" w:eastAsia="黑体" w:cs="Times New Roman"/>
          <w:kern w:val="0"/>
          <w:szCs w:val="21"/>
          <w:lang w:val="en-US" w:eastAsia="zh-CN"/>
        </w:rPr>
      </w:pPr>
      <w:r>
        <w:rPr>
          <w:rFonts w:hint="eastAsia" w:ascii="黑体" w:hAnsi="黑体" w:eastAsia="黑体" w:cs="Times New Roman"/>
          <w:kern w:val="0"/>
          <w:szCs w:val="21"/>
          <w:lang w:val="en-US" w:eastAsia="zh-CN"/>
        </w:rPr>
        <w:t>表A.1 慢性肾脏病</w:t>
      </w:r>
      <w:r>
        <w:rPr>
          <w:rFonts w:hint="eastAsia" w:ascii="黑体" w:hAnsi="黑体" w:eastAsia="黑体" w:cs="Times New Roman"/>
          <w:kern w:val="0"/>
          <w:szCs w:val="21"/>
        </w:rPr>
        <w:t>3～4期脾肾气阴两虚证中医证候诊断</w:t>
      </w:r>
      <w:r>
        <w:rPr>
          <w:rFonts w:hint="eastAsia" w:ascii="黑体" w:hAnsi="黑体" w:eastAsia="黑体" w:cs="Times New Roman"/>
          <w:kern w:val="0"/>
          <w:szCs w:val="21"/>
          <w:lang w:val="en-US" w:eastAsia="zh-CN"/>
        </w:rPr>
        <w:t>量表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0"/>
        <w:gridCol w:w="2149"/>
        <w:gridCol w:w="4228"/>
      </w:tblGrid>
      <w:tr w14:paraId="47D6D27C">
        <w:trPr>
          <w:jc w:val="center"/>
        </w:trPr>
        <w:tc>
          <w:tcPr>
            <w:tcW w:w="15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3CD6E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类别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5EE31C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辨证条目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347C5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Theme="minorEastAsia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判断</w:t>
            </w:r>
          </w:p>
        </w:tc>
      </w:tr>
      <w:tr w14:paraId="14708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/>
            <w:vAlign w:val="center"/>
          </w:tcPr>
          <w:p w14:paraId="76BE3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临床症状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43FBD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Times New Roman" w:hAnsi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神疲乏力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22E34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□有（3分）</w:t>
            </w:r>
          </w:p>
        </w:tc>
      </w:tr>
      <w:tr w14:paraId="12D28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93A7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D709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腰膝酸软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50980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□有（3分）</w:t>
            </w:r>
          </w:p>
        </w:tc>
      </w:tr>
      <w:tr w14:paraId="10CB4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452B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37FB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气短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26AD17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□有（2分）</w:t>
            </w:r>
          </w:p>
        </w:tc>
      </w:tr>
      <w:tr w14:paraId="06D5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2CF3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4B22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口干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8D4B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□有（2分）</w:t>
            </w:r>
          </w:p>
        </w:tc>
      </w:tr>
      <w:tr w14:paraId="3CD60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8C14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1A7A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五心烦热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EE02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□有（2分）</w:t>
            </w:r>
          </w:p>
        </w:tc>
      </w:tr>
      <w:tr w14:paraId="78EF8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6F31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6CCB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腰痛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CE0A4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□有（2分）</w:t>
            </w:r>
          </w:p>
        </w:tc>
      </w:tr>
      <w:tr w14:paraId="36CB1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860F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92F8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懒言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CD131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□有（1分）</w:t>
            </w:r>
          </w:p>
        </w:tc>
      </w:tr>
      <w:tr w14:paraId="4801C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19CD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A069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夜尿增多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EE96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□有（1分）</w:t>
            </w:r>
          </w:p>
        </w:tc>
      </w:tr>
      <w:tr w14:paraId="4381E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/>
            <w:vAlign w:val="center"/>
          </w:tcPr>
          <w:p w14:paraId="194BB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舌象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0840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舌淡有齿痕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5D7C9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□有（2分）</w:t>
            </w:r>
          </w:p>
        </w:tc>
      </w:tr>
      <w:tr w14:paraId="224B9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6A4D5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51290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少苔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3D4FD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□有（2分）</w:t>
            </w:r>
          </w:p>
        </w:tc>
      </w:tr>
      <w:tr w14:paraId="14713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/>
            <w:vAlign w:val="center"/>
          </w:tcPr>
          <w:p w14:paraId="13660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脉象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7D70A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脉沉细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2A65D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□有（2分）</w:t>
            </w:r>
          </w:p>
        </w:tc>
      </w:tr>
      <w:tr w14:paraId="59048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E8D6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5174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脉弱</w:t>
            </w:r>
          </w:p>
        </w:tc>
        <w:tc>
          <w:tcPr>
            <w:tcW w:w="4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96AC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□无（0分）  □有（2分）</w:t>
            </w:r>
          </w:p>
        </w:tc>
      </w:tr>
      <w:tr w14:paraId="743DA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9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8FC2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/>
                <w:b w:val="0"/>
                <w:color w:val="00000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总分：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</w:t>
            </w:r>
          </w:p>
        </w:tc>
      </w:tr>
      <w:tr w14:paraId="5A2BE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9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3EA3A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辨证结果：脾肾气阴两虚证  □是（≥15分）   □否（＜15分）</w:t>
            </w:r>
          </w:p>
        </w:tc>
      </w:tr>
    </w:tbl>
    <w:p w14:paraId="087F960A">
      <w:pPr>
        <w:widowControl/>
        <w:spacing w:line="360" w:lineRule="exact"/>
        <w:jc w:val="left"/>
        <w:rPr>
          <w:rFonts w:ascii="黑体" w:hAnsi="黑体" w:eastAsia="黑体" w:cs="Times New Roman"/>
          <w:kern w:val="0"/>
          <w:szCs w:val="21"/>
        </w:rPr>
      </w:pPr>
    </w:p>
    <w:p w14:paraId="3E985EFD">
      <w:pPr>
        <w:widowControl/>
        <w:spacing w:line="360" w:lineRule="exact"/>
        <w:jc w:val="left"/>
        <w:rPr>
          <w:rFonts w:ascii="仿宋" w:hAnsi="仿宋" w:eastAsia="仿宋"/>
          <w:color w:val="000000" w:themeColor="text1"/>
          <w:sz w:val="30"/>
          <w:szCs w:val="30"/>
        </w:rPr>
      </w:pPr>
    </w:p>
    <w:p w14:paraId="2E2FD53C">
      <w:pPr>
        <w:rPr>
          <w:rFonts w:ascii="仿宋" w:hAnsi="仿宋" w:eastAsia="仿宋"/>
          <w:color w:val="000000" w:themeColor="text1"/>
          <w:sz w:val="30"/>
          <w:szCs w:val="30"/>
        </w:rPr>
        <w:sectPr>
          <w:footerReference r:id="rId11" w:type="default"/>
          <w:pgSz w:w="11906" w:h="16838"/>
          <w:pgMar w:top="1440" w:right="1797" w:bottom="1440" w:left="1797" w:header="851" w:footer="992" w:gutter="0"/>
          <w:pgNumType w:start="1"/>
          <w:cols w:space="425" w:num="1"/>
          <w:docGrid w:linePitch="312" w:charSpace="0"/>
        </w:sectPr>
      </w:pPr>
    </w:p>
    <w:p w14:paraId="10ACB769">
      <w:pPr>
        <w:pStyle w:val="23"/>
        <w:keepNext w:val="0"/>
        <w:keepLines w:val="0"/>
        <w:pageBreakBefore w:val="0"/>
        <w:widowControl/>
        <w:shd w:val="clear" w:color="FFFFFF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360" w:lineRule="auto"/>
        <w:textAlignment w:val="auto"/>
        <w:rPr>
          <w:rFonts w:hint="eastAsia"/>
          <w:b/>
          <w:bCs/>
          <w:highlight w:val="yellow"/>
        </w:rPr>
      </w:pPr>
      <w:bookmarkStart w:id="25" w:name="_Toc509933873"/>
      <w:bookmarkStart w:id="26" w:name="_Toc510534552"/>
      <w:r>
        <w:rPr>
          <w:rFonts w:hint="eastAsia"/>
          <w:b/>
          <w:bCs/>
          <w:highlight w:val="none"/>
        </w:rPr>
        <w:t>参 考 文 献</w:t>
      </w:r>
      <w:bookmarkEnd w:id="25"/>
      <w:bookmarkEnd w:id="26"/>
    </w:p>
    <w:p w14:paraId="4C5A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  <w:lang w:val="en-US" w:eastAsia="zh-CN"/>
        </w:rPr>
        <w:t xml:space="preserve">[1]GBD Chronic Kidney Disease Collaboration. Global, regional, and national burden of chronic kidney disease, 1990‐2017: a systematic analysis for the Global Burden of Disease Study 2017[J]. Lancet, 2020, 395 (10225): 709‐733. </w:t>
      </w:r>
    </w:p>
    <w:p w14:paraId="5BFFF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[2]</w:t>
      </w:r>
      <w:r>
        <w:rPr>
          <w:rFonts w:hint="eastAsia" w:ascii="宋体" w:hAnsi="宋体" w:eastAsia="宋体"/>
          <w:szCs w:val="21"/>
        </w:rPr>
        <w:t>全国科学技术名词审定委员会.中医药学名词[M].北京</w:t>
      </w:r>
      <w:r>
        <w:rPr>
          <w:rFonts w:hint="eastAsia" w:ascii="宋体" w:hAnsi="宋体" w:eastAsia="宋体"/>
          <w:szCs w:val="21"/>
          <w:lang w:val="en-US" w:eastAsia="zh-CN"/>
        </w:rPr>
        <w:t>:</w:t>
      </w:r>
      <w:r>
        <w:rPr>
          <w:rFonts w:hint="eastAsia" w:ascii="宋体" w:hAnsi="宋体" w:eastAsia="宋体"/>
          <w:szCs w:val="21"/>
        </w:rPr>
        <w:t>科学出版社, 2010.</w:t>
      </w:r>
    </w:p>
    <w:p w14:paraId="0651B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  <w:lang w:val="en-US" w:eastAsia="zh-CN"/>
        </w:rPr>
        <w:t>[3]</w:t>
      </w:r>
      <w:r>
        <w:rPr>
          <w:rFonts w:hint="eastAsia" w:ascii="宋体" w:hAnsi="宋体" w:eastAsia="宋体"/>
          <w:szCs w:val="21"/>
        </w:rPr>
        <w:t>姚乃礼.中医症状鉴别诊断学[M]. 2版.北京</w:t>
      </w:r>
      <w:r>
        <w:rPr>
          <w:rFonts w:hint="eastAsia" w:ascii="宋体" w:hAnsi="宋体" w:eastAsia="宋体"/>
          <w:szCs w:val="21"/>
          <w:lang w:val="en-US" w:eastAsia="zh-CN"/>
        </w:rPr>
        <w:t>:</w:t>
      </w:r>
      <w:r>
        <w:rPr>
          <w:rFonts w:hint="eastAsia" w:ascii="宋体" w:hAnsi="宋体" w:eastAsia="宋体"/>
          <w:szCs w:val="21"/>
        </w:rPr>
        <w:t>人民卫生出版社, 2000.</w:t>
      </w:r>
    </w:p>
    <w:p w14:paraId="39F12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  <w:lang w:val="en-US" w:eastAsia="zh-CN"/>
        </w:rPr>
        <w:t>[4]黎敬波,马力.中医临床常见症状术语规范[M].北京:中国医药科技出版社,2005.</w:t>
      </w:r>
    </w:p>
    <w:p w14:paraId="72573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  <w:lang w:val="en-US" w:eastAsia="zh-CN"/>
        </w:rPr>
        <w:t>[5]</w:t>
      </w:r>
      <w:bookmarkStart w:id="27" w:name="_GoBack"/>
      <w:bookmarkEnd w:id="27"/>
      <w:r>
        <w:rPr>
          <w:rFonts w:hint="eastAsia" w:ascii="宋体" w:hAnsi="宋体" w:eastAsia="宋体"/>
          <w:szCs w:val="21"/>
          <w:lang w:val="en-US" w:eastAsia="zh-CN"/>
        </w:rPr>
        <w:t xml:space="preserve">Kidney Disease: Improving Global Outcomes (KDIGO) CKD Work Group. KDIGO 2024 Clinical Practice Guideline for the Evaluation and Management of Chronic Kidney Disease. Kidney Int, 2024, 105 (4S): S117-S314. </w:t>
      </w:r>
    </w:p>
    <w:p w14:paraId="2F013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  <w:lang w:val="en-US" w:eastAsia="zh-CN"/>
        </w:rPr>
        <w:t>[6]赵宇,占永立,饶向荣,等.460例慢性肾功能衰竭患者中医证候特征分析[J].中医杂志, 2009, 50 (5): 446-448.</w:t>
      </w:r>
    </w:p>
    <w:p w14:paraId="58CC5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  <w:lang w:val="en-US" w:eastAsia="zh-CN"/>
        </w:rPr>
        <w:t>[7]聂莉芳,欧阳晃平,韩东彦.200例慢性肾功能衰竭证候分布特点与分析[J].中医研究, 2006 (4): 29-31.</w:t>
      </w:r>
    </w:p>
    <w:p w14:paraId="4134A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jc w:val="left"/>
        <w:textAlignment w:val="auto"/>
        <w:rPr>
          <w:rFonts w:hint="default" w:ascii="宋体" w:hAnsi="宋体" w:eastAsia="宋体"/>
          <w:szCs w:val="21"/>
          <w:lang w:val="en-US" w:eastAsia="zh-CN"/>
        </w:rPr>
      </w:pPr>
      <w:r>
        <w:rPr>
          <w:rFonts w:hint="default" w:ascii="宋体" w:hAnsi="宋体" w:eastAsia="宋体"/>
          <w:szCs w:val="21"/>
          <w:lang w:val="en-US" w:eastAsia="zh-CN"/>
        </w:rPr>
        <w:t>[</w:t>
      </w:r>
      <w:r>
        <w:rPr>
          <w:rFonts w:hint="eastAsia" w:ascii="宋体" w:hAnsi="宋体" w:eastAsia="宋体"/>
          <w:szCs w:val="21"/>
          <w:lang w:val="en-US" w:eastAsia="zh-CN"/>
        </w:rPr>
        <w:t>8</w:t>
      </w:r>
      <w:r>
        <w:rPr>
          <w:rFonts w:hint="default" w:ascii="宋体" w:hAnsi="宋体" w:eastAsia="宋体"/>
          <w:szCs w:val="21"/>
          <w:lang w:val="en-US" w:eastAsia="zh-CN"/>
        </w:rPr>
        <w:t>]邹燕勤,王钢,易岚,等.益气养阴方治疗慢性肾脏病气阴两虚证述要[J].江苏中医药,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default" w:ascii="宋体" w:hAnsi="宋体" w:eastAsia="宋体"/>
          <w:szCs w:val="21"/>
          <w:lang w:val="en-US" w:eastAsia="zh-CN"/>
        </w:rPr>
        <w:t>2024,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default" w:ascii="宋体" w:hAnsi="宋体" w:eastAsia="宋体"/>
          <w:szCs w:val="21"/>
          <w:lang w:val="en-US" w:eastAsia="zh-CN"/>
        </w:rPr>
        <w:t>56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default" w:ascii="宋体" w:hAnsi="宋体" w:eastAsia="宋体"/>
          <w:szCs w:val="21"/>
          <w:lang w:val="en-US" w:eastAsia="zh-CN"/>
        </w:rPr>
        <w:t>(6):</w:t>
      </w:r>
      <w:r>
        <w:rPr>
          <w:rFonts w:hint="eastAsia" w:ascii="宋体" w:hAnsi="宋体" w:eastAsia="宋体"/>
          <w:szCs w:val="21"/>
          <w:lang w:val="en-US" w:eastAsia="zh-CN"/>
        </w:rPr>
        <w:t xml:space="preserve"> </w:t>
      </w:r>
      <w:r>
        <w:rPr>
          <w:rFonts w:hint="default" w:ascii="宋体" w:hAnsi="宋体" w:eastAsia="宋体"/>
          <w:szCs w:val="21"/>
          <w:lang w:val="en-US" w:eastAsia="zh-CN"/>
        </w:rPr>
        <w:t>1-4.</w:t>
      </w:r>
    </w:p>
    <w:p w14:paraId="19DE3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default" w:ascii="宋体" w:hAnsi="宋体" w:eastAsia="宋体"/>
          <w:szCs w:val="21"/>
          <w:lang w:val="en-US" w:eastAsia="zh-CN"/>
        </w:rPr>
      </w:pPr>
    </w:p>
    <w:p w14:paraId="0F4E9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jc w:val="left"/>
        <w:textAlignment w:val="auto"/>
        <w:rPr>
          <w:rFonts w:hint="eastAsia" w:ascii="宋体" w:hAnsi="宋体" w:eastAsia="宋体"/>
          <w:szCs w:val="21"/>
          <w:lang w:val="en-US" w:eastAsia="zh-CN"/>
        </w:rPr>
      </w:pPr>
    </w:p>
    <w:p w14:paraId="475AC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jc w:val="left"/>
        <w:textAlignment w:val="auto"/>
        <w:rPr>
          <w:rFonts w:hint="default" w:ascii="宋体" w:hAnsi="宋体" w:eastAsia="宋体"/>
          <w:szCs w:val="21"/>
          <w:lang w:val="en-US" w:eastAsia="zh-CN"/>
        </w:rPr>
      </w:pPr>
    </w:p>
    <w:p w14:paraId="25651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jc w:val="left"/>
        <w:textAlignment w:val="auto"/>
        <w:rPr>
          <w:rFonts w:hint="default" w:ascii="宋体" w:hAnsi="宋体" w:eastAsia="宋体"/>
          <w:szCs w:val="21"/>
          <w:lang w:val="en-US" w:eastAsia="zh-CN"/>
        </w:rPr>
      </w:pPr>
    </w:p>
    <w:p w14:paraId="3DC79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jc w:val="left"/>
        <w:textAlignment w:val="auto"/>
        <w:rPr>
          <w:rFonts w:hint="default" w:ascii="宋体" w:hAnsi="宋体" w:eastAsia="宋体"/>
          <w:szCs w:val="21"/>
          <w:lang w:val="en-US" w:eastAsia="zh-CN"/>
        </w:rPr>
      </w:pPr>
    </w:p>
    <w:p w14:paraId="18F6E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jc w:val="left"/>
        <w:textAlignment w:val="auto"/>
        <w:rPr>
          <w:rFonts w:hint="default" w:ascii="宋体" w:hAnsi="宋体" w:eastAsia="宋体"/>
          <w:szCs w:val="21"/>
          <w:lang w:val="en-US" w:eastAsia="zh-CN"/>
        </w:rPr>
      </w:pPr>
      <w:r>
        <w:rPr>
          <w:sz w:val="30"/>
        </w:rPr>
        <w:pict>
          <v:line id="直接连接符 1" o:spid="_x0000_s1026" o:spt="20" style="position:absolute;left:0pt;margin-left:109.3pt;margin-top:12.1pt;height:0pt;width:221.35pt;z-index:251659264;mso-width-relative:page;mso-height-relative:page;" filled="f" stroked="t" coordsize="21600,21600" o:gfxdata="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Mnk+LNYAAAAJAQAADwAAAAAAAAABACAAAAAiAAAAZHJzL2Rvd25yZXYu&#10;eG1sUEsBAhQAFAAAAAgAh07iQAxch+L9AQAA3wMAAA4AAAAAAAAAAQAgAAAAJQEAAGRycy9lMm9E&#10;b2MueG1sUEsFBgAAAAAGAAYAWQEAAJQFAAAAAA==&#10;">
            <v:path arrowok="t"/>
            <v:fill on="f" focussize="0,0"/>
            <v:stroke color="#000000" joinstyle="round"/>
            <v:imagedata o:title=""/>
            <o:lock v:ext="edit" aspectratio="f"/>
          </v:line>
        </w:pict>
      </w:r>
    </w:p>
    <w:sectPr>
      <w:headerReference r:id="rId12" w:type="default"/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A1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FZXiaoBiaoSong-B05S">
    <w:altName w:val="苹方-简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4165F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C062A5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B6348">
    <w:pPr>
      <w:pStyle w:val="4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08492029"/>
      <w:docPartObj>
        <w:docPartGallery w:val="autotext"/>
      </w:docPartObj>
    </w:sdtPr>
    <w:sdtContent>
      <w:p w14:paraId="3654C72D">
        <w:pPr>
          <w:pStyle w:val="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I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57167578"/>
      <w:docPartObj>
        <w:docPartGallery w:val="autotext"/>
      </w:docPartObj>
    </w:sdtPr>
    <w:sdtContent>
      <w:p w14:paraId="73B809F4">
        <w:pPr>
          <w:pStyle w:val="4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10A007F2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0F064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AAC1B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011DA">
    <w:pPr>
      <w:pStyle w:val="5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D08009">
    <w:pPr>
      <w:pStyle w:val="5"/>
      <w:wordWrap w:val="0"/>
      <w:jc w:val="right"/>
      <w:rPr>
        <w:rFonts w:ascii="黑体" w:hAnsi="黑体" w:eastAsia="黑体"/>
        <w:sz w:val="21"/>
        <w:szCs w:val="21"/>
      </w:rPr>
    </w:pPr>
    <w:r>
      <w:rPr>
        <w:rFonts w:ascii="黑体" w:hAnsi="黑体" w:eastAsia="黑体"/>
        <w:sz w:val="21"/>
        <w:szCs w:val="21"/>
      </w:rPr>
      <w:t>T/</w:t>
    </w:r>
    <w:r>
      <w:rPr>
        <w:rFonts w:hint="eastAsia" w:ascii="黑体" w:hAnsi="黑体" w:eastAsia="黑体"/>
        <w:sz w:val="21"/>
        <w:szCs w:val="21"/>
        <w:lang w:val="en-US" w:eastAsia="zh-CN"/>
      </w:rPr>
      <w:t>BRA-CDCHE</w:t>
    </w:r>
    <w:r>
      <w:rPr>
        <w:rFonts w:ascii="黑体" w:hAnsi="黑体" w:eastAsia="黑体"/>
        <w:sz w:val="21"/>
        <w:szCs w:val="21"/>
      </w:rPr>
      <w:t xml:space="preserve"> </w:t>
    </w:r>
    <w:r>
      <w:rPr>
        <w:rFonts w:hint="eastAsia" w:ascii="黑体" w:hAnsi="黑体" w:eastAsia="黑体"/>
        <w:spacing w:val="10"/>
        <w:sz w:val="21"/>
        <w:szCs w:val="21"/>
      </w:rPr>
      <w:t>****</w:t>
    </w:r>
    <w:r>
      <w:rPr>
        <w:rFonts w:ascii="黑体" w:hAnsi="黑体" w:eastAsia="黑体"/>
        <w:spacing w:val="10"/>
        <w:sz w:val="21"/>
        <w:szCs w:val="21"/>
      </w:rPr>
      <w:t>－20</w:t>
    </w:r>
    <w:r>
      <w:rPr>
        <w:rFonts w:hint="eastAsia" w:ascii="黑体" w:hAnsi="黑体" w:eastAsia="黑体"/>
        <w:spacing w:val="10"/>
        <w:sz w:val="21"/>
        <w:szCs w:val="21"/>
      </w:rPr>
      <w:t>**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285E1">
    <w:pPr>
      <w:pStyle w:val="5"/>
      <w:tabs>
        <w:tab w:val="left" w:pos="11270"/>
      </w:tabs>
      <w:wordWrap w:val="0"/>
      <w:jc w:val="both"/>
      <w:rPr>
        <w:rFonts w:ascii="黑体" w:hAnsi="黑体" w:eastAsia="黑体"/>
        <w:sz w:val="21"/>
        <w:szCs w:val="21"/>
      </w:rPr>
    </w:pPr>
    <w:r>
      <w:rPr>
        <w:rFonts w:ascii="黑体" w:hAnsi="黑体" w:eastAsia="黑体"/>
        <w:sz w:val="21"/>
        <w:szCs w:val="21"/>
      </w:rPr>
      <w:tab/>
    </w:r>
    <w:r>
      <w:rPr>
        <w:rFonts w:ascii="黑体" w:hAnsi="黑体" w:eastAsia="黑体"/>
        <w:sz w:val="21"/>
        <w:szCs w:val="21"/>
      </w:rPr>
      <w:tab/>
    </w:r>
    <w:r>
      <w:rPr>
        <w:rFonts w:ascii="黑体" w:hAnsi="黑体" w:eastAsia="黑体"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22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pPr>
        <w:ind w:left="284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6CEA2025"/>
    <w:multiLevelType w:val="multilevel"/>
    <w:tmpl w:val="6CEA2025"/>
    <w:lvl w:ilvl="0" w:tentative="0">
      <w:start w:val="1"/>
      <w:numFmt w:val="none"/>
      <w:pStyle w:val="23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15"/>
      <w:suff w:val="nothing"/>
      <w:lvlText w:val="%1%2　"/>
      <w:lvlJc w:val="left"/>
      <w:pPr>
        <w:ind w:left="36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pStyle w:val="18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1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54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GNhNzY0ZDkyN2IyZmI1YWM4NDI0YzMxNTczYjkxOGYifQ=="/>
  </w:docVars>
  <w:rsids>
    <w:rsidRoot w:val="00BC7831"/>
    <w:rsid w:val="00016417"/>
    <w:rsid w:val="00051519"/>
    <w:rsid w:val="00053659"/>
    <w:rsid w:val="00060D8E"/>
    <w:rsid w:val="00080D52"/>
    <w:rsid w:val="000C29F0"/>
    <w:rsid w:val="000F1177"/>
    <w:rsid w:val="000F3546"/>
    <w:rsid w:val="00101828"/>
    <w:rsid w:val="001057F7"/>
    <w:rsid w:val="001074B6"/>
    <w:rsid w:val="0011064A"/>
    <w:rsid w:val="00110943"/>
    <w:rsid w:val="00112E5C"/>
    <w:rsid w:val="00160984"/>
    <w:rsid w:val="00165E1D"/>
    <w:rsid w:val="00184727"/>
    <w:rsid w:val="00195740"/>
    <w:rsid w:val="00195EBA"/>
    <w:rsid w:val="001A33E4"/>
    <w:rsid w:val="001C487F"/>
    <w:rsid w:val="001C5DF8"/>
    <w:rsid w:val="001E3CBE"/>
    <w:rsid w:val="00210EDC"/>
    <w:rsid w:val="00226F03"/>
    <w:rsid w:val="00240ECC"/>
    <w:rsid w:val="002568DB"/>
    <w:rsid w:val="002A3D14"/>
    <w:rsid w:val="002A716C"/>
    <w:rsid w:val="002D1620"/>
    <w:rsid w:val="002E27BA"/>
    <w:rsid w:val="002F33B1"/>
    <w:rsid w:val="0034011E"/>
    <w:rsid w:val="003B4F8D"/>
    <w:rsid w:val="00413F82"/>
    <w:rsid w:val="00435258"/>
    <w:rsid w:val="0043594C"/>
    <w:rsid w:val="00437239"/>
    <w:rsid w:val="004415F3"/>
    <w:rsid w:val="00467DE9"/>
    <w:rsid w:val="00514F56"/>
    <w:rsid w:val="0056475B"/>
    <w:rsid w:val="005675F6"/>
    <w:rsid w:val="005A4262"/>
    <w:rsid w:val="005B63FD"/>
    <w:rsid w:val="005C4D5C"/>
    <w:rsid w:val="005D718A"/>
    <w:rsid w:val="005E4503"/>
    <w:rsid w:val="005F249D"/>
    <w:rsid w:val="005F72FB"/>
    <w:rsid w:val="00664A03"/>
    <w:rsid w:val="00670459"/>
    <w:rsid w:val="00673E36"/>
    <w:rsid w:val="00674D46"/>
    <w:rsid w:val="0068444E"/>
    <w:rsid w:val="00687204"/>
    <w:rsid w:val="00692CC5"/>
    <w:rsid w:val="006E4104"/>
    <w:rsid w:val="006E78C3"/>
    <w:rsid w:val="00754AD5"/>
    <w:rsid w:val="007558D6"/>
    <w:rsid w:val="007A732B"/>
    <w:rsid w:val="007C7383"/>
    <w:rsid w:val="007D24E9"/>
    <w:rsid w:val="00826483"/>
    <w:rsid w:val="00862A07"/>
    <w:rsid w:val="008B1166"/>
    <w:rsid w:val="008D309F"/>
    <w:rsid w:val="008F7435"/>
    <w:rsid w:val="00931243"/>
    <w:rsid w:val="009401B9"/>
    <w:rsid w:val="00970892"/>
    <w:rsid w:val="009807BE"/>
    <w:rsid w:val="00981EAB"/>
    <w:rsid w:val="00984ED3"/>
    <w:rsid w:val="00990F61"/>
    <w:rsid w:val="009C6235"/>
    <w:rsid w:val="00A14AD3"/>
    <w:rsid w:val="00A93EB2"/>
    <w:rsid w:val="00AB3E24"/>
    <w:rsid w:val="00AC469E"/>
    <w:rsid w:val="00AF4FBC"/>
    <w:rsid w:val="00B100E3"/>
    <w:rsid w:val="00B530B7"/>
    <w:rsid w:val="00B5365B"/>
    <w:rsid w:val="00B573EC"/>
    <w:rsid w:val="00BB49F7"/>
    <w:rsid w:val="00BC7831"/>
    <w:rsid w:val="00C31CF7"/>
    <w:rsid w:val="00C553DB"/>
    <w:rsid w:val="00C86BEC"/>
    <w:rsid w:val="00CA373C"/>
    <w:rsid w:val="00D62642"/>
    <w:rsid w:val="00D70986"/>
    <w:rsid w:val="00DA744C"/>
    <w:rsid w:val="00DE1D6D"/>
    <w:rsid w:val="00E463FE"/>
    <w:rsid w:val="00E60530"/>
    <w:rsid w:val="00E86133"/>
    <w:rsid w:val="00E91C18"/>
    <w:rsid w:val="00EB2E65"/>
    <w:rsid w:val="00EC75D4"/>
    <w:rsid w:val="00EF27E0"/>
    <w:rsid w:val="00F024E8"/>
    <w:rsid w:val="00F10A24"/>
    <w:rsid w:val="00F27B39"/>
    <w:rsid w:val="00F51C34"/>
    <w:rsid w:val="00F948F3"/>
    <w:rsid w:val="00FD0652"/>
    <w:rsid w:val="00FD741A"/>
    <w:rsid w:val="01F36FCC"/>
    <w:rsid w:val="0227136C"/>
    <w:rsid w:val="045A77D7"/>
    <w:rsid w:val="066E1317"/>
    <w:rsid w:val="06A74829"/>
    <w:rsid w:val="078B7CA7"/>
    <w:rsid w:val="08190FC5"/>
    <w:rsid w:val="08D12032"/>
    <w:rsid w:val="08EC0C19"/>
    <w:rsid w:val="091B525A"/>
    <w:rsid w:val="09420839"/>
    <w:rsid w:val="0B1F52D6"/>
    <w:rsid w:val="0BBA6B24"/>
    <w:rsid w:val="0BD61D5A"/>
    <w:rsid w:val="0BE755A6"/>
    <w:rsid w:val="0BFFBC63"/>
    <w:rsid w:val="0D735465"/>
    <w:rsid w:val="0E1C78AB"/>
    <w:rsid w:val="0E2A204D"/>
    <w:rsid w:val="0ED5E346"/>
    <w:rsid w:val="0F6EEFF6"/>
    <w:rsid w:val="10741C20"/>
    <w:rsid w:val="117F9DF0"/>
    <w:rsid w:val="12AA7B7B"/>
    <w:rsid w:val="15FD4466"/>
    <w:rsid w:val="165A3666"/>
    <w:rsid w:val="16F7022A"/>
    <w:rsid w:val="16FD4357"/>
    <w:rsid w:val="17FC4B2F"/>
    <w:rsid w:val="18DF6862"/>
    <w:rsid w:val="1A847E25"/>
    <w:rsid w:val="1BA75D8A"/>
    <w:rsid w:val="1BAFD35F"/>
    <w:rsid w:val="1C646FED"/>
    <w:rsid w:val="1CC7757C"/>
    <w:rsid w:val="1CEAC883"/>
    <w:rsid w:val="1CFF0467"/>
    <w:rsid w:val="1D1A3B4F"/>
    <w:rsid w:val="1DFB2D45"/>
    <w:rsid w:val="1E5A5A62"/>
    <w:rsid w:val="1E965458"/>
    <w:rsid w:val="1EAFC8F4"/>
    <w:rsid w:val="1EF7021A"/>
    <w:rsid w:val="1EFF74CC"/>
    <w:rsid w:val="1F6B9AC9"/>
    <w:rsid w:val="1F7F7587"/>
    <w:rsid w:val="1FBBECD7"/>
    <w:rsid w:val="1FD1B1D9"/>
    <w:rsid w:val="1FED3521"/>
    <w:rsid w:val="20B41BC5"/>
    <w:rsid w:val="20D96F19"/>
    <w:rsid w:val="212A1E87"/>
    <w:rsid w:val="218F9EA4"/>
    <w:rsid w:val="21E12E8E"/>
    <w:rsid w:val="22F35FF6"/>
    <w:rsid w:val="23BB606B"/>
    <w:rsid w:val="23FBFC68"/>
    <w:rsid w:val="25DE0CE7"/>
    <w:rsid w:val="25EE0CFA"/>
    <w:rsid w:val="25F7F4C6"/>
    <w:rsid w:val="2623053C"/>
    <w:rsid w:val="268F4CFB"/>
    <w:rsid w:val="270F3FF9"/>
    <w:rsid w:val="27E606F5"/>
    <w:rsid w:val="290F75E7"/>
    <w:rsid w:val="2966585C"/>
    <w:rsid w:val="29DF7E17"/>
    <w:rsid w:val="2BC2163A"/>
    <w:rsid w:val="2CBEF067"/>
    <w:rsid w:val="2DE65587"/>
    <w:rsid w:val="2DF14458"/>
    <w:rsid w:val="2DFFCB77"/>
    <w:rsid w:val="2F366FC2"/>
    <w:rsid w:val="2F7AE6A4"/>
    <w:rsid w:val="2FE93A4F"/>
    <w:rsid w:val="2FFF138B"/>
    <w:rsid w:val="300D4E4E"/>
    <w:rsid w:val="30C61BCC"/>
    <w:rsid w:val="30E16A06"/>
    <w:rsid w:val="31A014D2"/>
    <w:rsid w:val="31F31444"/>
    <w:rsid w:val="32917FB8"/>
    <w:rsid w:val="32963A97"/>
    <w:rsid w:val="33770F5C"/>
    <w:rsid w:val="340A6274"/>
    <w:rsid w:val="34DD74E5"/>
    <w:rsid w:val="34FEA7E7"/>
    <w:rsid w:val="35FF0995"/>
    <w:rsid w:val="3634BEDF"/>
    <w:rsid w:val="3673CE64"/>
    <w:rsid w:val="3773E0BF"/>
    <w:rsid w:val="37BF97FC"/>
    <w:rsid w:val="37DFCEE1"/>
    <w:rsid w:val="37EF3B29"/>
    <w:rsid w:val="37EFC661"/>
    <w:rsid w:val="37FF9EAC"/>
    <w:rsid w:val="38710670"/>
    <w:rsid w:val="39C2318D"/>
    <w:rsid w:val="39ED01CA"/>
    <w:rsid w:val="39FB8E73"/>
    <w:rsid w:val="3AFA6973"/>
    <w:rsid w:val="3B7F7855"/>
    <w:rsid w:val="3BFDBD2E"/>
    <w:rsid w:val="3BFF78CE"/>
    <w:rsid w:val="3BFF8230"/>
    <w:rsid w:val="3C776471"/>
    <w:rsid w:val="3D1579B8"/>
    <w:rsid w:val="3D7ECE1A"/>
    <w:rsid w:val="3D89E4F7"/>
    <w:rsid w:val="3DB334D8"/>
    <w:rsid w:val="3DEF70A8"/>
    <w:rsid w:val="3DFA774C"/>
    <w:rsid w:val="3E495BEB"/>
    <w:rsid w:val="3EBC016B"/>
    <w:rsid w:val="3EDE3D57"/>
    <w:rsid w:val="3EEAC5B9"/>
    <w:rsid w:val="3EEC6CA2"/>
    <w:rsid w:val="3EF751A5"/>
    <w:rsid w:val="3EFF535A"/>
    <w:rsid w:val="3F1B6501"/>
    <w:rsid w:val="3F50CCAB"/>
    <w:rsid w:val="3F7FCA76"/>
    <w:rsid w:val="3F9E1C5D"/>
    <w:rsid w:val="3FAB1DB4"/>
    <w:rsid w:val="3FDBDDEE"/>
    <w:rsid w:val="3FED84B3"/>
    <w:rsid w:val="3FEDE4E3"/>
    <w:rsid w:val="3FEE1326"/>
    <w:rsid w:val="3FF6E10D"/>
    <w:rsid w:val="3FF71AFE"/>
    <w:rsid w:val="3FF7F538"/>
    <w:rsid w:val="3FFE20E3"/>
    <w:rsid w:val="3FFFCE4D"/>
    <w:rsid w:val="410B2946"/>
    <w:rsid w:val="458A0FC3"/>
    <w:rsid w:val="45D109A0"/>
    <w:rsid w:val="47B24801"/>
    <w:rsid w:val="48877A3B"/>
    <w:rsid w:val="48CD485D"/>
    <w:rsid w:val="490E5A67"/>
    <w:rsid w:val="4A176B9D"/>
    <w:rsid w:val="4AFD326F"/>
    <w:rsid w:val="4BE59A1E"/>
    <w:rsid w:val="4BFFBFCC"/>
    <w:rsid w:val="4C1C493F"/>
    <w:rsid w:val="4DDCEB32"/>
    <w:rsid w:val="4E121B55"/>
    <w:rsid w:val="4F7A1C1A"/>
    <w:rsid w:val="4FC06B25"/>
    <w:rsid w:val="4FF1F437"/>
    <w:rsid w:val="4FFDCE3E"/>
    <w:rsid w:val="4FFFD92C"/>
    <w:rsid w:val="502A55C8"/>
    <w:rsid w:val="50B21089"/>
    <w:rsid w:val="513E8E77"/>
    <w:rsid w:val="529A65BD"/>
    <w:rsid w:val="52FB52AE"/>
    <w:rsid w:val="53BDAFCB"/>
    <w:rsid w:val="53E775E0"/>
    <w:rsid w:val="53F6564D"/>
    <w:rsid w:val="53F76AC3"/>
    <w:rsid w:val="53FA6E66"/>
    <w:rsid w:val="54994852"/>
    <w:rsid w:val="54FB8118"/>
    <w:rsid w:val="55DF07F7"/>
    <w:rsid w:val="55FB515E"/>
    <w:rsid w:val="55FFBD58"/>
    <w:rsid w:val="56D6E506"/>
    <w:rsid w:val="56F583ED"/>
    <w:rsid w:val="56FF4A94"/>
    <w:rsid w:val="577FAE45"/>
    <w:rsid w:val="57DF1104"/>
    <w:rsid w:val="57FE18C9"/>
    <w:rsid w:val="57FEA17E"/>
    <w:rsid w:val="57FF92F6"/>
    <w:rsid w:val="58DD11B1"/>
    <w:rsid w:val="59FFA591"/>
    <w:rsid w:val="5A6FD761"/>
    <w:rsid w:val="5AFBE7A2"/>
    <w:rsid w:val="5B3F7F01"/>
    <w:rsid w:val="5B7ECF3B"/>
    <w:rsid w:val="5BDE7D22"/>
    <w:rsid w:val="5BFB279B"/>
    <w:rsid w:val="5BFD6511"/>
    <w:rsid w:val="5BFFCD60"/>
    <w:rsid w:val="5D7EDECF"/>
    <w:rsid w:val="5DB178B3"/>
    <w:rsid w:val="5DB524FD"/>
    <w:rsid w:val="5DBD8195"/>
    <w:rsid w:val="5DEDF0F8"/>
    <w:rsid w:val="5E5F74FE"/>
    <w:rsid w:val="5E7FFA9C"/>
    <w:rsid w:val="5EE73191"/>
    <w:rsid w:val="5EF1E947"/>
    <w:rsid w:val="5EF83E73"/>
    <w:rsid w:val="5F1B68F2"/>
    <w:rsid w:val="5F5024DD"/>
    <w:rsid w:val="5F7B0EE9"/>
    <w:rsid w:val="5FBB1E9B"/>
    <w:rsid w:val="5FBE19C7"/>
    <w:rsid w:val="5FD739E9"/>
    <w:rsid w:val="5FDC5E39"/>
    <w:rsid w:val="5FE501BD"/>
    <w:rsid w:val="5FED988D"/>
    <w:rsid w:val="5FFD9F95"/>
    <w:rsid w:val="5FFEDB6B"/>
    <w:rsid w:val="5FFF545E"/>
    <w:rsid w:val="61A82AA5"/>
    <w:rsid w:val="621C0D9D"/>
    <w:rsid w:val="622D4D58"/>
    <w:rsid w:val="63021D41"/>
    <w:rsid w:val="646BACA3"/>
    <w:rsid w:val="64774B6F"/>
    <w:rsid w:val="64DF571D"/>
    <w:rsid w:val="6573657E"/>
    <w:rsid w:val="65CB96E4"/>
    <w:rsid w:val="65FF7BCD"/>
    <w:rsid w:val="65FFCB9E"/>
    <w:rsid w:val="667F4CF7"/>
    <w:rsid w:val="66B772E6"/>
    <w:rsid w:val="6777008A"/>
    <w:rsid w:val="677C4523"/>
    <w:rsid w:val="67876CB8"/>
    <w:rsid w:val="67BEECEF"/>
    <w:rsid w:val="67DE2934"/>
    <w:rsid w:val="67E3853F"/>
    <w:rsid w:val="67EFF8DC"/>
    <w:rsid w:val="67FB945D"/>
    <w:rsid w:val="67FFD49C"/>
    <w:rsid w:val="6919D468"/>
    <w:rsid w:val="69E77EE2"/>
    <w:rsid w:val="69FFA080"/>
    <w:rsid w:val="6A9516EC"/>
    <w:rsid w:val="6A991956"/>
    <w:rsid w:val="6B77C055"/>
    <w:rsid w:val="6BB61208"/>
    <w:rsid w:val="6BC7658A"/>
    <w:rsid w:val="6BF6BCA6"/>
    <w:rsid w:val="6D5B4E6F"/>
    <w:rsid w:val="6D7B9749"/>
    <w:rsid w:val="6DAFC9B4"/>
    <w:rsid w:val="6DBCB006"/>
    <w:rsid w:val="6DDA39C6"/>
    <w:rsid w:val="6DDD494D"/>
    <w:rsid w:val="6E201C15"/>
    <w:rsid w:val="6E793614"/>
    <w:rsid w:val="6E7F009D"/>
    <w:rsid w:val="6EED4736"/>
    <w:rsid w:val="6EFE7A29"/>
    <w:rsid w:val="6EFFA042"/>
    <w:rsid w:val="6F7F26EF"/>
    <w:rsid w:val="6F7F5365"/>
    <w:rsid w:val="6FC33079"/>
    <w:rsid w:val="6FCDDB82"/>
    <w:rsid w:val="6FDF7CCF"/>
    <w:rsid w:val="6FEBAC52"/>
    <w:rsid w:val="6FFE5E42"/>
    <w:rsid w:val="6FFE5E68"/>
    <w:rsid w:val="6FFEF5BC"/>
    <w:rsid w:val="70D50A94"/>
    <w:rsid w:val="70F27A7F"/>
    <w:rsid w:val="7115FE0D"/>
    <w:rsid w:val="717EEB98"/>
    <w:rsid w:val="71EACD85"/>
    <w:rsid w:val="71FD7240"/>
    <w:rsid w:val="725B6026"/>
    <w:rsid w:val="725E9090"/>
    <w:rsid w:val="727F1CA8"/>
    <w:rsid w:val="727FCC89"/>
    <w:rsid w:val="72FFF779"/>
    <w:rsid w:val="731E7580"/>
    <w:rsid w:val="737B5E03"/>
    <w:rsid w:val="73BE53D7"/>
    <w:rsid w:val="73BFA714"/>
    <w:rsid w:val="73BFF39D"/>
    <w:rsid w:val="73DF631A"/>
    <w:rsid w:val="73EFD469"/>
    <w:rsid w:val="743F1EBA"/>
    <w:rsid w:val="743F421B"/>
    <w:rsid w:val="744E128A"/>
    <w:rsid w:val="7455768C"/>
    <w:rsid w:val="747351D4"/>
    <w:rsid w:val="74950D0A"/>
    <w:rsid w:val="74D07EF1"/>
    <w:rsid w:val="75673D4E"/>
    <w:rsid w:val="75FB273D"/>
    <w:rsid w:val="75FE8351"/>
    <w:rsid w:val="75FF9E8C"/>
    <w:rsid w:val="75FFC09C"/>
    <w:rsid w:val="767321BA"/>
    <w:rsid w:val="76BD6E14"/>
    <w:rsid w:val="76C73017"/>
    <w:rsid w:val="76EFDE89"/>
    <w:rsid w:val="76EFE611"/>
    <w:rsid w:val="777D1351"/>
    <w:rsid w:val="777ED04B"/>
    <w:rsid w:val="778FCF33"/>
    <w:rsid w:val="7799B92C"/>
    <w:rsid w:val="77AF6F1D"/>
    <w:rsid w:val="77B50BB4"/>
    <w:rsid w:val="77B72A78"/>
    <w:rsid w:val="77BA8C37"/>
    <w:rsid w:val="77BE42BE"/>
    <w:rsid w:val="77CA0BCB"/>
    <w:rsid w:val="77CF3D9A"/>
    <w:rsid w:val="77DF503E"/>
    <w:rsid w:val="77DFB4C1"/>
    <w:rsid w:val="77FD46BE"/>
    <w:rsid w:val="77FEB04A"/>
    <w:rsid w:val="77FF9F9E"/>
    <w:rsid w:val="77FFB53F"/>
    <w:rsid w:val="7883527A"/>
    <w:rsid w:val="78AF606F"/>
    <w:rsid w:val="78C244A2"/>
    <w:rsid w:val="78DEC6C7"/>
    <w:rsid w:val="78EF25DF"/>
    <w:rsid w:val="78FFEBCA"/>
    <w:rsid w:val="79D55456"/>
    <w:rsid w:val="79DD4B1D"/>
    <w:rsid w:val="79DFC0EA"/>
    <w:rsid w:val="79F72A39"/>
    <w:rsid w:val="79FB64EA"/>
    <w:rsid w:val="79FE7B32"/>
    <w:rsid w:val="7A831561"/>
    <w:rsid w:val="7B364047"/>
    <w:rsid w:val="7B77BF03"/>
    <w:rsid w:val="7B7F9CC8"/>
    <w:rsid w:val="7B9D1B9F"/>
    <w:rsid w:val="7BB76449"/>
    <w:rsid w:val="7BBBDFBE"/>
    <w:rsid w:val="7BBE2A13"/>
    <w:rsid w:val="7BC500B0"/>
    <w:rsid w:val="7BD52290"/>
    <w:rsid w:val="7BDF0AF9"/>
    <w:rsid w:val="7BEB857B"/>
    <w:rsid w:val="7BEBB279"/>
    <w:rsid w:val="7BEF0174"/>
    <w:rsid w:val="7BF6704A"/>
    <w:rsid w:val="7BFA072A"/>
    <w:rsid w:val="7BFE503D"/>
    <w:rsid w:val="7BFEA202"/>
    <w:rsid w:val="7BFF1A1B"/>
    <w:rsid w:val="7C3DCB63"/>
    <w:rsid w:val="7C75B8A4"/>
    <w:rsid w:val="7CEEAD7E"/>
    <w:rsid w:val="7CF76117"/>
    <w:rsid w:val="7CFEA48D"/>
    <w:rsid w:val="7CFEDF84"/>
    <w:rsid w:val="7D798A72"/>
    <w:rsid w:val="7DAFD471"/>
    <w:rsid w:val="7DC861E9"/>
    <w:rsid w:val="7DE76D08"/>
    <w:rsid w:val="7DEF4A2B"/>
    <w:rsid w:val="7DFDA017"/>
    <w:rsid w:val="7DFF7651"/>
    <w:rsid w:val="7DFFDBEC"/>
    <w:rsid w:val="7E1A566D"/>
    <w:rsid w:val="7E562072"/>
    <w:rsid w:val="7E5E6F16"/>
    <w:rsid w:val="7E6A6A14"/>
    <w:rsid w:val="7E6F4B1B"/>
    <w:rsid w:val="7E79EC5E"/>
    <w:rsid w:val="7E7C04DC"/>
    <w:rsid w:val="7E8B4FC2"/>
    <w:rsid w:val="7EE9874E"/>
    <w:rsid w:val="7EF65318"/>
    <w:rsid w:val="7EFB253B"/>
    <w:rsid w:val="7EFD3DD7"/>
    <w:rsid w:val="7EFEEC13"/>
    <w:rsid w:val="7EFEFE3D"/>
    <w:rsid w:val="7EFF3AF3"/>
    <w:rsid w:val="7EFF9847"/>
    <w:rsid w:val="7F27A791"/>
    <w:rsid w:val="7F37DE53"/>
    <w:rsid w:val="7F3EA966"/>
    <w:rsid w:val="7F5F40C3"/>
    <w:rsid w:val="7F6D71F7"/>
    <w:rsid w:val="7F6F7D70"/>
    <w:rsid w:val="7F7829E0"/>
    <w:rsid w:val="7F78A952"/>
    <w:rsid w:val="7F7B58AA"/>
    <w:rsid w:val="7F7F4556"/>
    <w:rsid w:val="7F7F769D"/>
    <w:rsid w:val="7F8EE699"/>
    <w:rsid w:val="7F9F0472"/>
    <w:rsid w:val="7FABF1A7"/>
    <w:rsid w:val="7FAFD290"/>
    <w:rsid w:val="7FB44368"/>
    <w:rsid w:val="7FBAEE24"/>
    <w:rsid w:val="7FBB80E9"/>
    <w:rsid w:val="7FBD711A"/>
    <w:rsid w:val="7FBFE2CA"/>
    <w:rsid w:val="7FCB1840"/>
    <w:rsid w:val="7FD75702"/>
    <w:rsid w:val="7FD79376"/>
    <w:rsid w:val="7FD8B4AF"/>
    <w:rsid w:val="7FDD9E72"/>
    <w:rsid w:val="7FDFD5DB"/>
    <w:rsid w:val="7FE375EA"/>
    <w:rsid w:val="7FF20D07"/>
    <w:rsid w:val="7FF5AEF4"/>
    <w:rsid w:val="7FF73C8B"/>
    <w:rsid w:val="7FF74A4A"/>
    <w:rsid w:val="7FF87B3B"/>
    <w:rsid w:val="7FF9006E"/>
    <w:rsid w:val="7FFB4197"/>
    <w:rsid w:val="7FFD4230"/>
    <w:rsid w:val="7FFF2182"/>
    <w:rsid w:val="7FFF8D21"/>
    <w:rsid w:val="7FFFC065"/>
    <w:rsid w:val="7FFFC72F"/>
    <w:rsid w:val="7FFFDAC6"/>
    <w:rsid w:val="7FFFDD78"/>
    <w:rsid w:val="7FFFEC99"/>
    <w:rsid w:val="7FFFFD3A"/>
    <w:rsid w:val="86BFA7A6"/>
    <w:rsid w:val="87773DBE"/>
    <w:rsid w:val="89F575DB"/>
    <w:rsid w:val="8D3F5FC5"/>
    <w:rsid w:val="8FFDD35D"/>
    <w:rsid w:val="93CEA144"/>
    <w:rsid w:val="95EB725E"/>
    <w:rsid w:val="976FC770"/>
    <w:rsid w:val="9AD3B189"/>
    <w:rsid w:val="9B5FBC8C"/>
    <w:rsid w:val="9B7DE3C5"/>
    <w:rsid w:val="9BFB0360"/>
    <w:rsid w:val="9BFD31F8"/>
    <w:rsid w:val="9BFE8EAF"/>
    <w:rsid w:val="9CD9E3E4"/>
    <w:rsid w:val="9CDE8492"/>
    <w:rsid w:val="9D7985E1"/>
    <w:rsid w:val="9DDBEE99"/>
    <w:rsid w:val="9DEFCF77"/>
    <w:rsid w:val="9DFDF283"/>
    <w:rsid w:val="9E6FA19E"/>
    <w:rsid w:val="9E7E4351"/>
    <w:rsid w:val="9E9E04E2"/>
    <w:rsid w:val="9F3DE8DB"/>
    <w:rsid w:val="9F6532B7"/>
    <w:rsid w:val="9F685EE7"/>
    <w:rsid w:val="9FFB0941"/>
    <w:rsid w:val="9FFE3EFE"/>
    <w:rsid w:val="A615FD5C"/>
    <w:rsid w:val="A6FD1716"/>
    <w:rsid w:val="A7FEFF6E"/>
    <w:rsid w:val="AA5D3CA5"/>
    <w:rsid w:val="AAED8F1C"/>
    <w:rsid w:val="AAFF20BA"/>
    <w:rsid w:val="AAFFA1EC"/>
    <w:rsid w:val="ADF0175C"/>
    <w:rsid w:val="AEABCC3C"/>
    <w:rsid w:val="AED560F5"/>
    <w:rsid w:val="AFC8D39C"/>
    <w:rsid w:val="AFF827B8"/>
    <w:rsid w:val="AFFF46DE"/>
    <w:rsid w:val="B19F46F5"/>
    <w:rsid w:val="B5767266"/>
    <w:rsid w:val="B57FC10E"/>
    <w:rsid w:val="B5AF777D"/>
    <w:rsid w:val="B5FC4FEA"/>
    <w:rsid w:val="B6F5215E"/>
    <w:rsid w:val="B72612DA"/>
    <w:rsid w:val="B7FF3F9E"/>
    <w:rsid w:val="B9F7A1B2"/>
    <w:rsid w:val="BA7EEB57"/>
    <w:rsid w:val="BADEA5A8"/>
    <w:rsid w:val="BB2BC98A"/>
    <w:rsid w:val="BB63EEBD"/>
    <w:rsid w:val="BBAFAF05"/>
    <w:rsid w:val="BBD8256F"/>
    <w:rsid w:val="BBF7AD78"/>
    <w:rsid w:val="BBF7AFDC"/>
    <w:rsid w:val="BBF959E0"/>
    <w:rsid w:val="BBFBEE3C"/>
    <w:rsid w:val="BBFE06E5"/>
    <w:rsid w:val="BBFF042F"/>
    <w:rsid w:val="BBFF2A09"/>
    <w:rsid w:val="BBFF2EFC"/>
    <w:rsid w:val="BCFF0370"/>
    <w:rsid w:val="BD7C8C30"/>
    <w:rsid w:val="BDB76B17"/>
    <w:rsid w:val="BDD2F5F1"/>
    <w:rsid w:val="BDDD584F"/>
    <w:rsid w:val="BE36EF60"/>
    <w:rsid w:val="BE7BD8B6"/>
    <w:rsid w:val="BEEEA062"/>
    <w:rsid w:val="BEFD78B9"/>
    <w:rsid w:val="BEFF458B"/>
    <w:rsid w:val="BEFF4ACC"/>
    <w:rsid w:val="BF778284"/>
    <w:rsid w:val="BF7F1FC8"/>
    <w:rsid w:val="BF8B4090"/>
    <w:rsid w:val="BFAFDF85"/>
    <w:rsid w:val="BFBF0723"/>
    <w:rsid w:val="BFCF6F08"/>
    <w:rsid w:val="BFD65AA3"/>
    <w:rsid w:val="BFDE98B1"/>
    <w:rsid w:val="BFF75895"/>
    <w:rsid w:val="BFF9B09F"/>
    <w:rsid w:val="BFFDA08D"/>
    <w:rsid w:val="C1FFDA54"/>
    <w:rsid w:val="C7AFD2FF"/>
    <w:rsid w:val="C7B964EC"/>
    <w:rsid w:val="C9E515BB"/>
    <w:rsid w:val="CB8570AA"/>
    <w:rsid w:val="CBDF8112"/>
    <w:rsid w:val="CBFF0462"/>
    <w:rsid w:val="CC97E99F"/>
    <w:rsid w:val="CDDD19D3"/>
    <w:rsid w:val="CDF9E77D"/>
    <w:rsid w:val="CEBBFDF8"/>
    <w:rsid w:val="CFBFF657"/>
    <w:rsid w:val="CFDFE50D"/>
    <w:rsid w:val="CFE7CFFB"/>
    <w:rsid w:val="CFF96B0F"/>
    <w:rsid w:val="CFFC8121"/>
    <w:rsid w:val="CFFF6BBF"/>
    <w:rsid w:val="D1FB803F"/>
    <w:rsid w:val="D5FF9025"/>
    <w:rsid w:val="D6FD8457"/>
    <w:rsid w:val="D6FDC7C5"/>
    <w:rsid w:val="D7DEF9FF"/>
    <w:rsid w:val="D7FB057B"/>
    <w:rsid w:val="D7FFDD40"/>
    <w:rsid w:val="D9BE2591"/>
    <w:rsid w:val="D9D920E1"/>
    <w:rsid w:val="DA7E0C42"/>
    <w:rsid w:val="DADBEA41"/>
    <w:rsid w:val="DADF070C"/>
    <w:rsid w:val="DB5E8E6A"/>
    <w:rsid w:val="DBB7D212"/>
    <w:rsid w:val="DBEE0BD5"/>
    <w:rsid w:val="DCB7A157"/>
    <w:rsid w:val="DD4F50DD"/>
    <w:rsid w:val="DDEDB61F"/>
    <w:rsid w:val="DE73AA17"/>
    <w:rsid w:val="DE9E759A"/>
    <w:rsid w:val="DEE9E2FB"/>
    <w:rsid w:val="DEEA960E"/>
    <w:rsid w:val="DEEF9DE2"/>
    <w:rsid w:val="DEF3819A"/>
    <w:rsid w:val="DEFF4D06"/>
    <w:rsid w:val="DF2F3AAF"/>
    <w:rsid w:val="DF3DC20C"/>
    <w:rsid w:val="DF3F8327"/>
    <w:rsid w:val="DF3FC78B"/>
    <w:rsid w:val="DFAD4F17"/>
    <w:rsid w:val="DFDF97FD"/>
    <w:rsid w:val="DFEC71B6"/>
    <w:rsid w:val="DFEDFDF3"/>
    <w:rsid w:val="DFF7A52A"/>
    <w:rsid w:val="DFF9AF91"/>
    <w:rsid w:val="DFFD8F77"/>
    <w:rsid w:val="DFFDA214"/>
    <w:rsid w:val="DFFF0669"/>
    <w:rsid w:val="E25F9EAD"/>
    <w:rsid w:val="E3FDF7A6"/>
    <w:rsid w:val="E4F6D588"/>
    <w:rsid w:val="E6DEA391"/>
    <w:rsid w:val="E7AE598B"/>
    <w:rsid w:val="E7E5BA5E"/>
    <w:rsid w:val="E9DF6A60"/>
    <w:rsid w:val="E9FF1B5E"/>
    <w:rsid w:val="EABD19D7"/>
    <w:rsid w:val="EAF80045"/>
    <w:rsid w:val="EAFF263A"/>
    <w:rsid w:val="EB731741"/>
    <w:rsid w:val="EBB3837E"/>
    <w:rsid w:val="EBBBAB4E"/>
    <w:rsid w:val="EBD3DA50"/>
    <w:rsid w:val="EBFF2D54"/>
    <w:rsid w:val="EC7B6FAC"/>
    <w:rsid w:val="ECD67912"/>
    <w:rsid w:val="ECDD7136"/>
    <w:rsid w:val="ED773966"/>
    <w:rsid w:val="EDA4A371"/>
    <w:rsid w:val="EDCECF63"/>
    <w:rsid w:val="EDCEE4B0"/>
    <w:rsid w:val="EDDD99D6"/>
    <w:rsid w:val="EDF654E1"/>
    <w:rsid w:val="EDFDAE07"/>
    <w:rsid w:val="EDFF7363"/>
    <w:rsid w:val="EDFFB33F"/>
    <w:rsid w:val="EE0D9CE6"/>
    <w:rsid w:val="EE7F41C8"/>
    <w:rsid w:val="EEADCE66"/>
    <w:rsid w:val="EEDC19AC"/>
    <w:rsid w:val="EEF99724"/>
    <w:rsid w:val="EEFEC6EC"/>
    <w:rsid w:val="EEFF921A"/>
    <w:rsid w:val="EF79149D"/>
    <w:rsid w:val="EF9F88DB"/>
    <w:rsid w:val="EFA60AFB"/>
    <w:rsid w:val="EFD74DE4"/>
    <w:rsid w:val="EFDF8A8E"/>
    <w:rsid w:val="EFE59CA0"/>
    <w:rsid w:val="EFEB46B8"/>
    <w:rsid w:val="EFED2B60"/>
    <w:rsid w:val="EFF2D670"/>
    <w:rsid w:val="EFF74ACD"/>
    <w:rsid w:val="EFFE5778"/>
    <w:rsid w:val="EFFF1A48"/>
    <w:rsid w:val="EFFFEEE0"/>
    <w:rsid w:val="F0BB05C4"/>
    <w:rsid w:val="F1F3EC07"/>
    <w:rsid w:val="F1F9E5D7"/>
    <w:rsid w:val="F1FFB5B6"/>
    <w:rsid w:val="F24A6839"/>
    <w:rsid w:val="F257E1EE"/>
    <w:rsid w:val="F2A7445F"/>
    <w:rsid w:val="F36EEB2D"/>
    <w:rsid w:val="F3BBD0D6"/>
    <w:rsid w:val="F3F2CC93"/>
    <w:rsid w:val="F3FC3AE9"/>
    <w:rsid w:val="F4CFF3F7"/>
    <w:rsid w:val="F4DFEF61"/>
    <w:rsid w:val="F4FBB4C5"/>
    <w:rsid w:val="F56EA129"/>
    <w:rsid w:val="F57F2DA1"/>
    <w:rsid w:val="F5DEE2D3"/>
    <w:rsid w:val="F5EFAEFD"/>
    <w:rsid w:val="F5F39560"/>
    <w:rsid w:val="F5F88575"/>
    <w:rsid w:val="F6F623E2"/>
    <w:rsid w:val="F7577A62"/>
    <w:rsid w:val="F75D5DAF"/>
    <w:rsid w:val="F75DA373"/>
    <w:rsid w:val="F77BBC0C"/>
    <w:rsid w:val="F7932CE7"/>
    <w:rsid w:val="F7CEF800"/>
    <w:rsid w:val="F7CF2444"/>
    <w:rsid w:val="F7CF7789"/>
    <w:rsid w:val="F7D399E2"/>
    <w:rsid w:val="F7E310C1"/>
    <w:rsid w:val="F7EF8A32"/>
    <w:rsid w:val="F7F39592"/>
    <w:rsid w:val="F7FE6A11"/>
    <w:rsid w:val="F97FB76A"/>
    <w:rsid w:val="F9FB415E"/>
    <w:rsid w:val="F9FD7C8F"/>
    <w:rsid w:val="FA4BA794"/>
    <w:rsid w:val="FA556ED3"/>
    <w:rsid w:val="FA7FB580"/>
    <w:rsid w:val="FA9E5AB2"/>
    <w:rsid w:val="FABE2420"/>
    <w:rsid w:val="FAFD8DF3"/>
    <w:rsid w:val="FB5A5B7E"/>
    <w:rsid w:val="FB9BD545"/>
    <w:rsid w:val="FBB77051"/>
    <w:rsid w:val="FBBB0C54"/>
    <w:rsid w:val="FBC7FB93"/>
    <w:rsid w:val="FBCF773A"/>
    <w:rsid w:val="FBDD9FE6"/>
    <w:rsid w:val="FBDDF738"/>
    <w:rsid w:val="FBDFFAD4"/>
    <w:rsid w:val="FBEECFAF"/>
    <w:rsid w:val="FBEF4F20"/>
    <w:rsid w:val="FBF4522E"/>
    <w:rsid w:val="FBF53D17"/>
    <w:rsid w:val="FBF76084"/>
    <w:rsid w:val="FBF7DDAA"/>
    <w:rsid w:val="FBF95E11"/>
    <w:rsid w:val="FBFCC818"/>
    <w:rsid w:val="FBFD67B6"/>
    <w:rsid w:val="FC665B00"/>
    <w:rsid w:val="FC7F4526"/>
    <w:rsid w:val="FCBF13BC"/>
    <w:rsid w:val="FCD5EF2E"/>
    <w:rsid w:val="FCD9CA4D"/>
    <w:rsid w:val="FCED62F1"/>
    <w:rsid w:val="FCFBD181"/>
    <w:rsid w:val="FCFCCFD1"/>
    <w:rsid w:val="FD5FC833"/>
    <w:rsid w:val="FD6922E9"/>
    <w:rsid w:val="FD6D7185"/>
    <w:rsid w:val="FD7FC48B"/>
    <w:rsid w:val="FDDF88EE"/>
    <w:rsid w:val="FDF7ACFC"/>
    <w:rsid w:val="FDF8D3A4"/>
    <w:rsid w:val="FDFB6420"/>
    <w:rsid w:val="FDFCB0A7"/>
    <w:rsid w:val="FDFD0730"/>
    <w:rsid w:val="FDFD2FD6"/>
    <w:rsid w:val="FDFD4F4A"/>
    <w:rsid w:val="FDFE8565"/>
    <w:rsid w:val="FDFF8F7F"/>
    <w:rsid w:val="FDFFFF82"/>
    <w:rsid w:val="FE1539D0"/>
    <w:rsid w:val="FE3335F3"/>
    <w:rsid w:val="FE4B5DCA"/>
    <w:rsid w:val="FE7FA362"/>
    <w:rsid w:val="FEBC94CC"/>
    <w:rsid w:val="FEBFD018"/>
    <w:rsid w:val="FEEE071F"/>
    <w:rsid w:val="FEEFBCB0"/>
    <w:rsid w:val="FEF655FF"/>
    <w:rsid w:val="FEFA461B"/>
    <w:rsid w:val="FEFD1E14"/>
    <w:rsid w:val="FEFE873A"/>
    <w:rsid w:val="FEFF54E6"/>
    <w:rsid w:val="FF1F379B"/>
    <w:rsid w:val="FF1FAB62"/>
    <w:rsid w:val="FF3BC364"/>
    <w:rsid w:val="FF3F5686"/>
    <w:rsid w:val="FF469723"/>
    <w:rsid w:val="FF77F45B"/>
    <w:rsid w:val="FF7F5D1F"/>
    <w:rsid w:val="FF7FED8C"/>
    <w:rsid w:val="FF8BE10E"/>
    <w:rsid w:val="FF94F0EF"/>
    <w:rsid w:val="FFAFFFB9"/>
    <w:rsid w:val="FFBF15AC"/>
    <w:rsid w:val="FFBF9DA8"/>
    <w:rsid w:val="FFBF9F83"/>
    <w:rsid w:val="FFBFCF49"/>
    <w:rsid w:val="FFCF054C"/>
    <w:rsid w:val="FFD2B3E9"/>
    <w:rsid w:val="FFD826B4"/>
    <w:rsid w:val="FFDC961B"/>
    <w:rsid w:val="FFDEBFCA"/>
    <w:rsid w:val="FFDFC4CF"/>
    <w:rsid w:val="FFEC61A1"/>
    <w:rsid w:val="FFED167D"/>
    <w:rsid w:val="FFEFE028"/>
    <w:rsid w:val="FFF2D8BB"/>
    <w:rsid w:val="FFF65626"/>
    <w:rsid w:val="FFF712A4"/>
    <w:rsid w:val="FFF767F4"/>
    <w:rsid w:val="FFF9A288"/>
    <w:rsid w:val="FFFB2DFE"/>
    <w:rsid w:val="FFFD78F4"/>
    <w:rsid w:val="FFFDDC6B"/>
    <w:rsid w:val="FFFF148E"/>
    <w:rsid w:val="FFFF50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link w:val="13"/>
    <w:qFormat/>
    <w:uiPriority w:val="0"/>
    <w:pPr>
      <w:widowControl/>
    </w:pPr>
    <w:rPr>
      <w:rFonts w:ascii="Times New Roman" w:hAnsi="Times New Roman" w:eastAsia="仿宋_GB2312" w:cs="Times New Roman"/>
      <w:kern w:val="0"/>
      <w:sz w:val="28"/>
      <w:szCs w:val="20"/>
    </w:rPr>
  </w:style>
  <w:style w:type="paragraph" w:styleId="3">
    <w:name w:val="Balloon Text"/>
    <w:basedOn w:val="1"/>
    <w:link w:val="2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5"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toc 1"/>
    <w:qFormat/>
    <w:uiPriority w:val="39"/>
    <w:pPr>
      <w:widowControl w:val="0"/>
      <w:spacing w:before="240" w:after="120"/>
    </w:pPr>
    <w:rPr>
      <w:rFonts w:ascii="等线" w:hAnsi="Times New Roman" w:eastAsia="等线" w:cs="Times New Roman"/>
      <w:b/>
      <w:bCs/>
      <w:kern w:val="2"/>
      <w:sz w:val="20"/>
      <w:szCs w:val="20"/>
      <w:lang w:val="en-US" w:eastAsia="zh-CN" w:bidi="ar-SA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正文文本 3 字符"/>
    <w:basedOn w:val="10"/>
    <w:link w:val="2"/>
    <w:qFormat/>
    <w:uiPriority w:val="0"/>
    <w:rPr>
      <w:rFonts w:ascii="Times New Roman" w:hAnsi="Times New Roman" w:eastAsia="仿宋_GB2312" w:cs="Times New Roman"/>
      <w:kern w:val="0"/>
      <w:sz w:val="28"/>
      <w:szCs w:val="20"/>
    </w:rPr>
  </w:style>
  <w:style w:type="character" w:customStyle="1" w:styleId="14">
    <w:name w:val="章标题 Char"/>
    <w:link w:val="15"/>
    <w:qFormat/>
    <w:uiPriority w:val="0"/>
    <w:rPr>
      <w:rFonts w:ascii="黑体" w:eastAsia="黑体"/>
    </w:rPr>
  </w:style>
  <w:style w:type="paragraph" w:customStyle="1" w:styleId="15">
    <w:name w:val="章标题"/>
    <w:next w:val="16"/>
    <w:link w:val="14"/>
    <w:qFormat/>
    <w:uiPriority w:val="0"/>
    <w:pPr>
      <w:numPr>
        <w:ilvl w:val="1"/>
        <w:numId w:val="1"/>
      </w:numPr>
      <w:spacing w:beforeLines="50" w:afterLines="50"/>
      <w:jc w:val="both"/>
      <w:outlineLvl w:val="1"/>
    </w:pPr>
    <w:rPr>
      <w:rFonts w:ascii="黑体" w:eastAsia="黑体" w:hAnsiTheme="minorHAnsi" w:cstheme="minorBidi"/>
      <w:kern w:val="2"/>
      <w:sz w:val="21"/>
      <w:szCs w:val="22"/>
      <w:lang w:val="en-US" w:eastAsia="zh-CN" w:bidi="ar-SA"/>
    </w:rPr>
  </w:style>
  <w:style w:type="paragraph" w:customStyle="1" w:styleId="16">
    <w:name w:val="段"/>
    <w:link w:val="34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character" w:customStyle="1" w:styleId="17">
    <w:name w:val="一级条标题 Char"/>
    <w:link w:val="18"/>
    <w:qFormat/>
    <w:uiPriority w:val="0"/>
    <w:rPr>
      <w:rFonts w:eastAsia="黑体"/>
    </w:rPr>
  </w:style>
  <w:style w:type="paragraph" w:customStyle="1" w:styleId="18">
    <w:name w:val="一级条标题"/>
    <w:next w:val="16"/>
    <w:link w:val="17"/>
    <w:qFormat/>
    <w:uiPriority w:val="0"/>
    <w:pPr>
      <w:numPr>
        <w:ilvl w:val="2"/>
        <w:numId w:val="1"/>
      </w:numPr>
      <w:outlineLvl w:val="2"/>
    </w:pPr>
    <w:rPr>
      <w:rFonts w:eastAsia="黑体" w:asciiTheme="minorHAnsi" w:hAnsiTheme="minorHAnsi" w:cstheme="minorBidi"/>
      <w:kern w:val="2"/>
      <w:sz w:val="21"/>
      <w:szCs w:val="22"/>
      <w:lang w:val="en-US" w:eastAsia="zh-CN" w:bidi="ar-SA"/>
    </w:rPr>
  </w:style>
  <w:style w:type="character" w:customStyle="1" w:styleId="19">
    <w:name w:val="页眉 Char"/>
    <w:basedOn w:val="10"/>
    <w:semiHidden/>
    <w:qFormat/>
    <w:uiPriority w:val="99"/>
    <w:rPr>
      <w:sz w:val="18"/>
      <w:szCs w:val="18"/>
    </w:rPr>
  </w:style>
  <w:style w:type="paragraph" w:customStyle="1" w:styleId="20">
    <w:name w:val="目次、标准名称标题"/>
    <w:basedOn w:val="1"/>
    <w:next w:val="1"/>
    <w:qFormat/>
    <w:uiPriority w:val="0"/>
    <w:pPr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hAnsi="Times New Roman" w:eastAsia="黑体" w:cs="Times New Roman"/>
      <w:kern w:val="0"/>
      <w:sz w:val="32"/>
      <w:szCs w:val="20"/>
    </w:rPr>
  </w:style>
  <w:style w:type="paragraph" w:customStyle="1" w:styleId="21">
    <w:name w:val="二级条标题"/>
    <w:basedOn w:val="18"/>
    <w:next w:val="16"/>
    <w:qFormat/>
    <w:uiPriority w:val="0"/>
    <w:pPr>
      <w:numPr>
        <w:ilvl w:val="3"/>
      </w:numPr>
      <w:tabs>
        <w:tab w:val="left" w:pos="435"/>
      </w:tabs>
      <w:ind w:left="435" w:hanging="435"/>
      <w:outlineLvl w:val="3"/>
    </w:pPr>
  </w:style>
  <w:style w:type="paragraph" w:customStyle="1" w:styleId="22">
    <w:name w:val="注：（正文）"/>
    <w:basedOn w:val="1"/>
    <w:next w:val="16"/>
    <w:qFormat/>
    <w:uiPriority w:val="0"/>
    <w:pPr>
      <w:numPr>
        <w:ilvl w:val="0"/>
        <w:numId w:val="2"/>
      </w:numPr>
      <w:tabs>
        <w:tab w:val="left" w:pos="1080"/>
      </w:tabs>
      <w:autoSpaceDE w:val="0"/>
      <w:autoSpaceDN w:val="0"/>
      <w:ind w:left="726" w:hanging="363"/>
    </w:pPr>
    <w:rPr>
      <w:rFonts w:ascii="宋体" w:hAnsi="Times New Roman" w:eastAsia="宋体" w:cs="Times New Roman"/>
      <w:kern w:val="0"/>
      <w:sz w:val="18"/>
      <w:szCs w:val="18"/>
    </w:rPr>
  </w:style>
  <w:style w:type="paragraph" w:customStyle="1" w:styleId="23">
    <w:name w:val="前言、引言标题"/>
    <w:next w:val="1"/>
    <w:qFormat/>
    <w:uiPriority w:val="0"/>
    <w:pPr>
      <w:numPr>
        <w:ilvl w:val="0"/>
        <w:numId w:val="1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kern w:val="0"/>
      <w:sz w:val="32"/>
      <w:szCs w:val="20"/>
      <w:lang w:val="en-US" w:eastAsia="zh-CN" w:bidi="ar-SA"/>
    </w:rPr>
  </w:style>
  <w:style w:type="paragraph" w:customStyle="1" w:styleId="24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kern w:val="0"/>
      <w:sz w:val="18"/>
      <w:szCs w:val="20"/>
      <w:lang w:val="en-US" w:eastAsia="zh-CN" w:bidi="ar-SA"/>
    </w:rPr>
  </w:style>
  <w:style w:type="character" w:customStyle="1" w:styleId="25">
    <w:name w:val="页眉 字符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页脚 字符"/>
    <w:basedOn w:val="10"/>
    <w:link w:val="4"/>
    <w:qFormat/>
    <w:uiPriority w:val="99"/>
    <w:rPr>
      <w:sz w:val="18"/>
      <w:szCs w:val="18"/>
    </w:rPr>
  </w:style>
  <w:style w:type="paragraph" w:styleId="27">
    <w:name w:val="List Paragraph"/>
    <w:basedOn w:val="1"/>
    <w:unhideWhenUsed/>
    <w:qFormat/>
    <w:uiPriority w:val="99"/>
    <w:pPr>
      <w:ind w:firstLine="420" w:firstLineChars="200"/>
    </w:pPr>
    <w:rPr>
      <w:szCs w:val="24"/>
    </w:rPr>
  </w:style>
  <w:style w:type="character" w:customStyle="1" w:styleId="28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9">
    <w:name w:val="批注框文本 字符"/>
    <w:basedOn w:val="10"/>
    <w:link w:val="3"/>
    <w:semiHidden/>
    <w:qFormat/>
    <w:uiPriority w:val="99"/>
    <w:rPr>
      <w:sz w:val="18"/>
      <w:szCs w:val="18"/>
    </w:rPr>
  </w:style>
  <w:style w:type="paragraph" w:customStyle="1" w:styleId="30">
    <w:name w:val="正文 + 宋体"/>
    <w:basedOn w:val="1"/>
    <w:qFormat/>
    <w:uiPriority w:val="0"/>
    <w:pPr>
      <w:spacing w:line="360" w:lineRule="auto"/>
      <w:ind w:firstLine="480" w:firstLineChars="200"/>
    </w:pPr>
    <w:rPr>
      <w:rFonts w:ascii="宋体" w:hAnsi="宋体" w:eastAsia="宋体" w:cs="Times New Roman"/>
      <w:sz w:val="24"/>
      <w:szCs w:val="24"/>
    </w:rPr>
  </w:style>
  <w:style w:type="character" w:customStyle="1" w:styleId="31">
    <w:name w:val="fontstyle01"/>
    <w:basedOn w:val="10"/>
    <w:qFormat/>
    <w:uiPriority w:val="0"/>
    <w:rPr>
      <w:rFonts w:hint="eastAsia" w:ascii="仿宋" w:hAnsi="仿宋" w:eastAsia="仿宋"/>
      <w:color w:val="000000"/>
      <w:sz w:val="30"/>
      <w:szCs w:val="30"/>
    </w:rPr>
  </w:style>
  <w:style w:type="paragraph" w:customStyle="1" w:styleId="32">
    <w:name w:val="Default"/>
    <w:qFormat/>
    <w:uiPriority w:val="0"/>
    <w:pPr>
      <w:widowControl w:val="0"/>
      <w:autoSpaceDE w:val="0"/>
      <w:autoSpaceDN w:val="0"/>
      <w:adjustRightInd w:val="0"/>
    </w:pPr>
    <w:rPr>
      <w:rFonts w:ascii="FZXiaoBiaoSong-B05S" w:hAnsi="Calibri" w:eastAsia="FZXiaoBiaoSong-B05S" w:cs="FZXiaoBiaoSong-B05S"/>
      <w:color w:val="000000"/>
      <w:kern w:val="0"/>
      <w:sz w:val="24"/>
      <w:szCs w:val="24"/>
      <w:lang w:val="en-US" w:eastAsia="zh-CN" w:bidi="ar-SA"/>
    </w:rPr>
  </w:style>
  <w:style w:type="character" w:customStyle="1" w:styleId="33">
    <w:name w:val="未处理的提及2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段 Char"/>
    <w:basedOn w:val="10"/>
    <w:link w:val="16"/>
    <w:qFormat/>
    <w:uiPriority w:val="0"/>
    <w:rPr>
      <w:rFonts w:ascii="宋体" w:hAnsi="Times New Roman" w:eastAsia="宋体" w:cs="Times New Roman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1669</Words>
  <Characters>1792</Characters>
  <Lines>14</Lines>
  <Paragraphs>3</Paragraphs>
  <TotalTime>0</TotalTime>
  <ScaleCrop>false</ScaleCrop>
  <LinksUpToDate>false</LinksUpToDate>
  <CharactersWithSpaces>1994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2019-08-13T10:38:00Z</dcterms:created>
  <dc:creator>fengxue</dc:creator>
  <cp:lastModifiedBy>冒慧敏</cp:lastModifiedBy>
  <cp:lastPrinted>2022-01-18T14:40:00Z</cp:lastPrinted>
  <dcterms:modified xsi:type="dcterms:W3CDTF">2026-10-12T01:35:25Z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C809AFD954D6433AB7EAF4AA84AFA7F8_13</vt:lpwstr>
  </property>
</Properties>
</file>