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653"/>
        <w:jc w:val="center"/>
        <w:rPr>
          <w:rFonts w:asciiTheme="minorEastAsia" w:hAnsiTheme="minorEastAsia" w:eastAsiaTheme="minorEastAsia" w:cstheme="minorEastAsia"/>
          <w:b/>
          <w:bCs/>
          <w:sz w:val="32"/>
          <w:szCs w:val="28"/>
        </w:rPr>
      </w:pPr>
      <w:r>
        <w:rPr>
          <w:rFonts w:hint="eastAsia" w:asciiTheme="minorEastAsia" w:hAnsiTheme="minorEastAsia" w:eastAsiaTheme="minorEastAsia" w:cstheme="minorEastAsia"/>
          <w:b/>
          <w:bCs/>
          <w:sz w:val="32"/>
          <w:szCs w:val="28"/>
        </w:rPr>
        <w:t>团体标准编制说明</w:t>
      </w:r>
    </w:p>
    <w:p>
      <w:pPr>
        <w:widowControl/>
        <w:spacing w:line="360" w:lineRule="auto"/>
        <w:ind w:firstLine="48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《阿尔茨海默病血液生物标志物样本预处理技术规范》</w:t>
      </w:r>
    </w:p>
    <w:p>
      <w:pPr>
        <w:widowControl/>
        <w:spacing w:line="360" w:lineRule="auto"/>
        <w:ind w:firstLine="48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(阶段：征求意见稿)</w:t>
      </w: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团体标准任务来源、编制背景、目的和意义</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由首都医科大学宣武医院提出，由北京慢性病防治与健康教育研究会归口，项目名称为《阿尔茨海默病血液生物标志物样本预处理技术规范》。本标准为首次制定，主要面向医疗机构、医学检验实验室、科研机构及多中心队列研究单位，规范阿尔茨海默病（</w:t>
      </w:r>
      <w:r>
        <w:rPr>
          <w:rFonts w:cs="Times New Roman" w:eastAsiaTheme="minorEastAsia"/>
          <w:sz w:val="24"/>
        </w:rPr>
        <w:t>Alzheimer’s disease，AD</w:t>
      </w:r>
      <w:r>
        <w:rPr>
          <w:rFonts w:hint="eastAsia" w:cs="Times New Roman" w:eastAsiaTheme="minorEastAsia"/>
          <w:sz w:val="24"/>
        </w:rPr>
        <w:t>）血液生物标志物检测用</w:t>
      </w:r>
      <w:bookmarkStart w:id="0" w:name="_GoBack"/>
      <w:bookmarkEnd w:id="0"/>
      <w:r>
        <w:rPr>
          <w:rFonts w:cs="Times New Roman" w:eastAsiaTheme="minorEastAsia"/>
          <w:sz w:val="24"/>
        </w:rPr>
        <w:t>K₂-EDTA</w:t>
      </w:r>
      <w:r>
        <w:rPr>
          <w:rFonts w:hint="eastAsia" w:cs="Times New Roman" w:eastAsiaTheme="minorEastAsia"/>
          <w:sz w:val="24"/>
        </w:rPr>
        <w:t>血浆样本从采集至检测前管理的关键环节。</w:t>
      </w:r>
    </w:p>
    <w:p>
      <w:pPr>
        <w:widowControl/>
        <w:spacing w:line="360" w:lineRule="auto"/>
        <w:ind w:firstLine="480"/>
        <w:jc w:val="left"/>
        <w:rPr>
          <w:rFonts w:cs="Times New Roman" w:eastAsiaTheme="minorEastAsia"/>
          <w:sz w:val="24"/>
        </w:rPr>
      </w:pPr>
      <w:r>
        <w:rPr>
          <w:rFonts w:hint="eastAsia" w:cs="Times New Roman" w:eastAsiaTheme="minorEastAsia"/>
          <w:sz w:val="24"/>
        </w:rPr>
        <w:t>AD血液生物标志物具有采集相对便捷、便于重复检测和适合分层转诊等特点。随着</w:t>
      </w:r>
      <w:r>
        <w:rPr>
          <w:rFonts w:cs="Times New Roman" w:eastAsiaTheme="minorEastAsia"/>
          <w:sz w:val="24"/>
        </w:rPr>
        <w:t>Aβ</w:t>
      </w:r>
      <w:r>
        <w:rPr>
          <w:rFonts w:hint="eastAsia" w:cs="Times New Roman" w:eastAsiaTheme="minorEastAsia"/>
          <w:sz w:val="24"/>
        </w:rPr>
        <w:t>42/</w:t>
      </w:r>
      <w:r>
        <w:rPr>
          <w:rFonts w:cs="Times New Roman" w:eastAsiaTheme="minorEastAsia"/>
          <w:sz w:val="24"/>
        </w:rPr>
        <w:t>Aβ</w:t>
      </w:r>
      <w:r>
        <w:rPr>
          <w:rFonts w:hint="eastAsia" w:cs="Times New Roman" w:eastAsiaTheme="minorEastAsia"/>
          <w:sz w:val="24"/>
        </w:rPr>
        <w:t>40、p-tau181、p-tau217、GFAP和NfL等指标的研究证据不断积累，血液检测正由研究工具逐步进入临床转化阶段。相关检测的可靠性不仅取决于试剂、仪器和校准体系，也取决于样本进入分析系统前是否受到一致控制。采血管类型、采血后等待时间、温度暴露、离心条件、血浆分离与分装、保存、运输和冻融均可能改变检测结果。</w:t>
      </w:r>
    </w:p>
    <w:p>
      <w:pPr>
        <w:widowControl/>
        <w:spacing w:line="360" w:lineRule="auto"/>
        <w:ind w:firstLine="480"/>
        <w:jc w:val="left"/>
        <w:rPr>
          <w:rFonts w:cs="Times New Roman" w:eastAsiaTheme="minorEastAsia"/>
          <w:sz w:val="24"/>
        </w:rPr>
      </w:pPr>
      <w:r>
        <w:rPr>
          <w:rFonts w:hint="eastAsia" w:cs="Times New Roman" w:eastAsiaTheme="minorEastAsia"/>
          <w:sz w:val="24"/>
        </w:rPr>
        <w:t>目前，不同医疗机构、研究中心和检测实验室的样本预处理流程尚未完全统一。基层采样点向中心实验室转运、多中心研究跨地域收集样本时，处理时效、低温条件、交接记录和偏差处置存在差异。</w:t>
      </w:r>
      <w:r>
        <w:rPr>
          <w:rFonts w:cs="Times New Roman" w:eastAsiaTheme="minorEastAsia"/>
          <w:sz w:val="24"/>
        </w:rPr>
        <w:t>WS/T 661—2020</w:t>
      </w:r>
      <w:r>
        <w:rPr>
          <w:rFonts w:hint="eastAsia" w:cs="Times New Roman" w:eastAsiaTheme="minorEastAsia"/>
          <w:sz w:val="24"/>
        </w:rPr>
        <w:t>和WS/T 225—2024规定了静脉采血及临床化学血液标本处理的通用要求，GB/T 22576.1—2026提出医学实验室质量和能力要求；国内专病操作规范及SABB、GBSC等研究进一步提供了AD血液标志物分析前管理依据。本标准结合我国医疗服务流程，整合关键技术条件、岗位责任、样本接收、偏差管理和记录追溯要求，为制定标准操作程序提供依据。</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本标准旨在统一</w:t>
      </w:r>
      <w:r>
        <w:rPr>
          <w:rFonts w:cs="Times New Roman" w:eastAsiaTheme="minorEastAsia"/>
          <w:sz w:val="24"/>
        </w:rPr>
        <w:t>K₂-EDTA</w:t>
      </w:r>
      <w:r>
        <w:rPr>
          <w:rFonts w:hint="eastAsia" w:cs="Times New Roman" w:eastAsiaTheme="minorEastAsia"/>
          <w:sz w:val="24"/>
        </w:rPr>
        <w:t>血浆样本预处理的基本技术要求，减少可避免的分析前偏差，提高不同机构、批次和研究队列之间样本质量的一致性，并为临床检测、多中心研究和基层采样转运提供操作依据。本标准仅规范样本预处理及检测前管理，不规定检测适应证、筛查对象、具体分析方法、诊断阈值和结果解释，也不替代完整的临床评估。</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工作简况，包括基本信息、任务来源、主要工作过程、主要起草人及其分工等。</w:t>
      </w:r>
    </w:p>
    <w:p>
      <w:pPr>
        <w:widowControl/>
        <w:spacing w:line="360" w:lineRule="auto"/>
        <w:ind w:firstLine="480"/>
        <w:jc w:val="left"/>
        <w:rPr>
          <w:rFonts w:cs="Times New Roman" w:eastAsiaTheme="minorEastAsia"/>
          <w:sz w:val="24"/>
        </w:rPr>
      </w:pPr>
      <w:r>
        <w:rPr>
          <w:rFonts w:hint="eastAsia" w:cs="Times New Roman" w:eastAsiaTheme="minorEastAsia"/>
          <w:sz w:val="24"/>
        </w:rPr>
        <w:t>（一）基本信息和任务来源</w:t>
      </w:r>
    </w:p>
    <w:p>
      <w:pPr>
        <w:widowControl/>
        <w:spacing w:line="360" w:lineRule="auto"/>
        <w:ind w:firstLine="480"/>
        <w:jc w:val="left"/>
        <w:rPr>
          <w:rFonts w:cs="Times New Roman" w:eastAsiaTheme="minorEastAsia"/>
          <w:sz w:val="24"/>
        </w:rPr>
      </w:pPr>
      <w:r>
        <w:rPr>
          <w:rFonts w:hint="eastAsia" w:cs="Times New Roman" w:eastAsiaTheme="minorEastAsia"/>
          <w:sz w:val="24"/>
        </w:rPr>
        <w:t>本项目由首都医科大学宣武医院承担，北京慢性病防治与健康教育研究会负责归口管理。立项申请人为秦琪，计划研制周期为9个月。起草单位包括首都医科大学宣武医院、山东第一医科大学附属省立医院、陆军军医大学大坪医院（陆军特色医学中心）、复旦大学附属华山医院、中国医科大学附属第一医院、深圳市慢性病防治中心、海南医科大学第二附属医院、宜春市人民医院和宁夏医科大学总医院。参编单位覆盖不同地区和不同层级医疗机构，专业领域涉及认知障碍诊疗、检验医学、血液生物标志物研究、样本质量管理及多中心研究。</w:t>
      </w:r>
    </w:p>
    <w:p>
      <w:pPr>
        <w:widowControl/>
        <w:spacing w:line="360" w:lineRule="auto"/>
        <w:ind w:firstLine="480"/>
        <w:jc w:val="left"/>
        <w:rPr>
          <w:rFonts w:cs="Times New Roman" w:eastAsiaTheme="minorEastAsia"/>
          <w:sz w:val="24"/>
        </w:rPr>
      </w:pPr>
      <w:r>
        <w:rPr>
          <w:rFonts w:hint="eastAsia" w:cs="Times New Roman" w:eastAsiaTheme="minorEastAsia"/>
          <w:sz w:val="24"/>
        </w:rPr>
        <w:t>（二）主要工作过程</w:t>
      </w:r>
    </w:p>
    <w:p>
      <w:pPr>
        <w:widowControl/>
        <w:spacing w:line="360" w:lineRule="auto"/>
        <w:ind w:firstLine="480"/>
        <w:jc w:val="left"/>
        <w:rPr>
          <w:rFonts w:cs="Times New Roman" w:eastAsiaTheme="minorEastAsia"/>
          <w:sz w:val="24"/>
        </w:rPr>
      </w:pPr>
      <w:r>
        <w:rPr>
          <w:rFonts w:hint="eastAsia" w:cs="Times New Roman" w:eastAsiaTheme="minorEastAsia"/>
          <w:sz w:val="24"/>
        </w:rPr>
        <w:t>1.前期准备阶段。起草组结合AD诊疗、血液生物标志物研究和样本库管理实践，分析临床检测及多中心研究中存在的主要分析前问题，初步确定以</w:t>
      </w:r>
      <w:r>
        <w:rPr>
          <w:rFonts w:cs="Times New Roman" w:eastAsiaTheme="minorEastAsia"/>
          <w:sz w:val="24"/>
        </w:rPr>
        <w:t>K₂-EDTA</w:t>
      </w:r>
      <w:r>
        <w:rPr>
          <w:rFonts w:hint="eastAsia" w:cs="Times New Roman" w:eastAsiaTheme="minorEastAsia"/>
          <w:sz w:val="24"/>
        </w:rPr>
        <w:t>血浆为规范对象，以样本预处理全过程为技术主线，并形成项目任务分工和研制进度安排。</w:t>
      </w:r>
    </w:p>
    <w:p>
      <w:pPr>
        <w:widowControl/>
        <w:spacing w:line="360" w:lineRule="auto"/>
        <w:ind w:firstLine="480"/>
        <w:jc w:val="left"/>
        <w:rPr>
          <w:rFonts w:cs="Times New Roman" w:eastAsiaTheme="minorEastAsia"/>
          <w:sz w:val="24"/>
        </w:rPr>
      </w:pPr>
      <w:r>
        <w:rPr>
          <w:rFonts w:hint="eastAsia" w:cs="Times New Roman" w:eastAsiaTheme="minorEastAsia"/>
          <w:sz w:val="24"/>
        </w:rPr>
        <w:t>2.文献研究和前期调研阶段。围绕样本基质、采血管、处理时效、离心、分装、保存、运输、冻融、异常样本和追溯记录开展文献检索。初稿形成前，起草组采用半结构式访谈和问卷调查征集临床、检验、样本质量管理及多中心研究人员意见。</w:t>
      </w:r>
    </w:p>
    <w:p>
      <w:pPr>
        <w:widowControl/>
        <w:spacing w:line="360" w:lineRule="auto"/>
        <w:ind w:firstLine="480"/>
        <w:jc w:val="left"/>
        <w:rPr>
          <w:rFonts w:cs="Times New Roman" w:eastAsiaTheme="minorEastAsia"/>
          <w:sz w:val="24"/>
        </w:rPr>
      </w:pPr>
      <w:r>
        <w:rPr>
          <w:rFonts w:hint="eastAsia" w:cs="Times New Roman" w:eastAsiaTheme="minorEastAsia"/>
          <w:sz w:val="24"/>
        </w:rPr>
        <w:t>3.标准起草阶段。起草组依据文献研究和前期调研结果，按照样本采集、处理、保存、运输、接收、冻融及检测前核对的顺序形成标准初稿，并同步编制术语、质量控制、偏差管理、信息追溯和生物安全条款。文本结构和规范用语按照</w:t>
      </w:r>
      <w:r>
        <w:rPr>
          <w:rFonts w:cs="Times New Roman" w:eastAsiaTheme="minorEastAsia"/>
          <w:sz w:val="24"/>
        </w:rPr>
        <w:t>GB/T 1.1—2020</w:t>
      </w:r>
      <w:r>
        <w:rPr>
          <w:rFonts w:hint="eastAsia" w:cs="Times New Roman" w:eastAsiaTheme="minorEastAsia"/>
          <w:sz w:val="24"/>
        </w:rPr>
        <w:t>进行校核。</w:t>
      </w:r>
    </w:p>
    <w:p>
      <w:pPr>
        <w:widowControl/>
        <w:spacing w:line="360" w:lineRule="auto"/>
        <w:ind w:firstLine="480"/>
        <w:jc w:val="left"/>
        <w:rPr>
          <w:rFonts w:cs="Times New Roman" w:eastAsiaTheme="minorEastAsia"/>
          <w:sz w:val="24"/>
        </w:rPr>
      </w:pPr>
      <w:r>
        <w:rPr>
          <w:rFonts w:hint="eastAsia" w:cs="Times New Roman" w:eastAsiaTheme="minorEastAsia"/>
          <w:sz w:val="24"/>
        </w:rPr>
        <w:t>4.后续研制安排。按照立项申请中的计划，起草组将在文献评价和专家论证基础上推进关键参数验证、试点应用、组内共识、公开征求意见和送审报批。各阶段完成时间、参加单位和形成材料以实际工作记录为准。</w:t>
      </w:r>
    </w:p>
    <w:p>
      <w:pPr>
        <w:widowControl/>
        <w:spacing w:line="360" w:lineRule="auto"/>
        <w:ind w:firstLine="480"/>
        <w:jc w:val="left"/>
        <w:rPr>
          <w:rFonts w:cs="Times New Roman" w:eastAsiaTheme="minorEastAsia"/>
          <w:sz w:val="24"/>
        </w:rPr>
      </w:pPr>
      <w:r>
        <w:rPr>
          <w:rFonts w:hint="eastAsia" w:cs="Times New Roman" w:eastAsiaTheme="minorEastAsia"/>
          <w:sz w:val="24"/>
        </w:rPr>
        <w:t>（三）主要起草人及分工</w:t>
      </w:r>
    </w:p>
    <w:p>
      <w:pPr>
        <w:widowControl/>
        <w:spacing w:line="360" w:lineRule="auto"/>
        <w:ind w:firstLine="480"/>
        <w:jc w:val="left"/>
        <w:rPr>
          <w:rFonts w:cs="Times New Roman" w:eastAsiaTheme="minorEastAsia"/>
          <w:sz w:val="24"/>
        </w:rPr>
      </w:pPr>
      <w:r>
        <w:rPr>
          <w:rFonts w:hint="eastAsia" w:cs="Times New Roman" w:eastAsiaTheme="minorEastAsia"/>
          <w:sz w:val="24"/>
        </w:rPr>
        <w:t>标准草案列出的主要起草人为唐毅、秦琪、杜怡峰、王延江、王培昌、谢芳，其他起草人为刘华岩、徐健、游咏、辛花平、赵春梅、宋乔、胡超、王彦、韩伟、夏心怡、王婧婉。牵头单位负责总体策划、技术路线、工作协调和文本统稿；主要起草人共同承担标准框架、临床适用性、检验质量管理和关键技术内容论证；其他成员根据专业分工参与文献检索、专家调研、样本处理条款起草、保存运输与异常样本评价、验证方案设计、意见处理及标准文本校核。</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标准编制原则。</w:t>
      </w:r>
    </w:p>
    <w:p>
      <w:pPr>
        <w:widowControl/>
        <w:spacing w:line="360" w:lineRule="auto"/>
        <w:ind w:firstLine="480"/>
        <w:jc w:val="left"/>
        <w:rPr>
          <w:rFonts w:cs="Times New Roman" w:eastAsiaTheme="minorEastAsia"/>
          <w:sz w:val="24"/>
        </w:rPr>
      </w:pPr>
      <w:r>
        <w:rPr>
          <w:rFonts w:hint="eastAsia" w:cs="Times New Roman" w:eastAsiaTheme="minorEastAsia"/>
          <w:sz w:val="24"/>
        </w:rPr>
        <w:t>（一）依法依规原则</w:t>
      </w:r>
    </w:p>
    <w:p>
      <w:pPr>
        <w:widowControl/>
        <w:spacing w:line="360" w:lineRule="auto"/>
        <w:ind w:firstLine="480"/>
        <w:jc w:val="left"/>
        <w:rPr>
          <w:rFonts w:cs="Times New Roman" w:eastAsiaTheme="minorEastAsia"/>
          <w:sz w:val="24"/>
        </w:rPr>
      </w:pPr>
      <w:r>
        <w:rPr>
          <w:rFonts w:hint="eastAsia" w:cs="Times New Roman" w:eastAsiaTheme="minorEastAsia"/>
          <w:sz w:val="24"/>
        </w:rPr>
        <w:t>标准编制遵循《中华人民共和国标准化法》《团体标准管理规定》等要求，按照</w:t>
      </w:r>
      <w:r>
        <w:rPr>
          <w:rFonts w:cs="Times New Roman" w:eastAsiaTheme="minorEastAsia"/>
          <w:sz w:val="24"/>
        </w:rPr>
        <w:t>GB/T 1.1—2020</w:t>
      </w:r>
      <w:r>
        <w:rPr>
          <w:rFonts w:hint="eastAsia" w:cs="Times New Roman" w:eastAsiaTheme="minorEastAsia"/>
          <w:sz w:val="24"/>
        </w:rPr>
        <w:t>确定文件结构、条款层次和规范用语，并与医学实验室管理、生物安全、个人信息保护及医疗废物管理等现行制度衔接。</w:t>
      </w:r>
    </w:p>
    <w:p>
      <w:pPr>
        <w:widowControl/>
        <w:spacing w:line="360" w:lineRule="auto"/>
        <w:ind w:firstLine="480"/>
        <w:jc w:val="left"/>
        <w:rPr>
          <w:rFonts w:cs="Times New Roman" w:eastAsiaTheme="minorEastAsia"/>
          <w:sz w:val="24"/>
        </w:rPr>
      </w:pPr>
      <w:r>
        <w:rPr>
          <w:rFonts w:hint="eastAsia" w:cs="Times New Roman" w:eastAsiaTheme="minorEastAsia"/>
          <w:sz w:val="24"/>
        </w:rPr>
        <w:t>（二）科学性原则</w:t>
      </w:r>
    </w:p>
    <w:p>
      <w:pPr>
        <w:widowControl/>
        <w:spacing w:line="360" w:lineRule="auto"/>
        <w:ind w:firstLine="480"/>
        <w:jc w:val="left"/>
        <w:rPr>
          <w:rFonts w:cs="Times New Roman" w:eastAsiaTheme="minorEastAsia"/>
          <w:sz w:val="24"/>
        </w:rPr>
      </w:pPr>
      <w:r>
        <w:rPr>
          <w:rFonts w:hint="eastAsia" w:cs="Times New Roman" w:eastAsiaTheme="minorEastAsia"/>
          <w:sz w:val="24"/>
        </w:rPr>
        <w:t>技术内容以通用标准、专病指南和共识、同行评议原始研究及检测平台验证资料为依据。对时间、温度、离心力和冻融次数等参数，明确证据所覆盖的样本基质、标志物和分析平台，不将单一研究或单一方法的结果无条件外推。</w:t>
      </w:r>
    </w:p>
    <w:p>
      <w:pPr>
        <w:widowControl/>
        <w:spacing w:line="360" w:lineRule="auto"/>
        <w:ind w:firstLine="480"/>
        <w:jc w:val="left"/>
        <w:rPr>
          <w:rFonts w:cs="Times New Roman" w:eastAsiaTheme="minorEastAsia"/>
          <w:sz w:val="24"/>
        </w:rPr>
      </w:pPr>
      <w:r>
        <w:rPr>
          <w:rFonts w:hint="eastAsia" w:cs="Times New Roman" w:eastAsiaTheme="minorEastAsia"/>
          <w:sz w:val="24"/>
        </w:rPr>
        <w:t>（三）协调一致原则</w:t>
      </w:r>
    </w:p>
    <w:p>
      <w:pPr>
        <w:widowControl/>
        <w:spacing w:line="360" w:lineRule="auto"/>
        <w:ind w:firstLine="480"/>
        <w:jc w:val="left"/>
        <w:rPr>
          <w:rFonts w:cs="Times New Roman" w:eastAsiaTheme="minorEastAsia"/>
          <w:sz w:val="24"/>
        </w:rPr>
      </w:pPr>
      <w:r>
        <w:rPr>
          <w:rFonts w:hint="eastAsia" w:cs="Times New Roman" w:eastAsiaTheme="minorEastAsia"/>
          <w:sz w:val="24"/>
        </w:rPr>
        <w:t>标准与</w:t>
      </w:r>
      <w:r>
        <w:rPr>
          <w:rFonts w:cs="Times New Roman" w:eastAsiaTheme="minorEastAsia"/>
          <w:sz w:val="24"/>
        </w:rPr>
        <w:t>WS/T 661—2020</w:t>
      </w:r>
      <w:r>
        <w:rPr>
          <w:rFonts w:hint="eastAsia" w:cs="Times New Roman" w:eastAsiaTheme="minorEastAsia"/>
          <w:sz w:val="24"/>
        </w:rPr>
        <w:t>、WS/T 225—2024、GB/T 22576.1—2026及2026版国内专病操作规范保持协调。在通用要求已经明确的事项上进行引用或衔接，在AD血液标志物特有的处理时效、低温保存、跨机构运输和偏差记录方面作进一步细化。</w:t>
      </w:r>
    </w:p>
    <w:p>
      <w:pPr>
        <w:widowControl/>
        <w:spacing w:line="360" w:lineRule="auto"/>
        <w:ind w:firstLine="480"/>
        <w:jc w:val="left"/>
        <w:rPr>
          <w:rFonts w:cs="Times New Roman" w:eastAsiaTheme="minorEastAsia"/>
          <w:sz w:val="24"/>
        </w:rPr>
      </w:pPr>
      <w:r>
        <w:rPr>
          <w:rFonts w:hint="eastAsia" w:cs="Times New Roman" w:eastAsiaTheme="minorEastAsia"/>
          <w:sz w:val="24"/>
        </w:rPr>
        <w:t>（四）可操作性和适用性原则</w:t>
      </w:r>
    </w:p>
    <w:p>
      <w:pPr>
        <w:widowControl/>
        <w:spacing w:line="360" w:lineRule="auto"/>
        <w:ind w:firstLine="480"/>
        <w:jc w:val="left"/>
        <w:rPr>
          <w:rFonts w:cs="Times New Roman" w:eastAsiaTheme="minorEastAsia"/>
          <w:sz w:val="24"/>
        </w:rPr>
      </w:pPr>
      <w:r>
        <w:rPr>
          <w:rFonts w:hint="eastAsia" w:cs="Times New Roman" w:eastAsiaTheme="minorEastAsia"/>
          <w:sz w:val="24"/>
        </w:rPr>
        <w:t>标准按照样本实际流转顺序设置条款，明确操作条件、质量检查、交接记录和偏差处置，区分推荐条件、可接受偏离和超限评估。技术要求采用功能性表述，不限定设备品牌、试剂供应商或单一检测平台，并兼顾医院检验科、科研样本库、多中心研究和基层采样转运场景。</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标准主要条文或技术内容的依据；专利情况说明；修订标准应说明新旧标准水平的对比情况。</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技术内容主要依据现行医学实验室质量管理、静脉血液标本采集与临床化学检验标本处理相关标准，以及阿尔茨海默病血液生物标志物临床应用指南、检测前样本处理操作规范、国内外专家共识和同行评议原始研究制定。技术要求重点围绕</w:t>
      </w:r>
      <w:r>
        <w:rPr>
          <w:rFonts w:cs="Times New Roman" w:eastAsiaTheme="minorEastAsia"/>
          <w:sz w:val="24"/>
        </w:rPr>
        <w:t>K₂-EDTA</w:t>
      </w:r>
      <w:r>
        <w:rPr>
          <w:rFonts w:hint="eastAsia" w:cs="Times New Roman" w:eastAsiaTheme="minorEastAsia"/>
          <w:sz w:val="24"/>
        </w:rPr>
        <w:t>血浆样本的采集、处理、离心、分离与分装、保存、运输、接收、冻融、质量控制、偏差管理、信息追溯及生物安全等环节设置，形成从采血至检测前核对的全过程管理要求。</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本标准以</w:t>
      </w:r>
      <w:r>
        <w:rPr>
          <w:rFonts w:cs="Times New Roman" w:eastAsiaTheme="minorEastAsia"/>
          <w:sz w:val="24"/>
        </w:rPr>
        <w:t>K₂-EDTA</w:t>
      </w:r>
      <w:r>
        <w:rPr>
          <w:rFonts w:hint="eastAsia" w:cs="Times New Roman" w:eastAsiaTheme="minorEastAsia"/>
          <w:sz w:val="24"/>
        </w:rPr>
        <w:t>抗凝血制备的血浆为对象，不包括血清、肝素血浆、枸橼酸血浆、毛细血管血及其他非血浆样本，以减少基质和抗凝体系差异造成的影响。采血、离心和标本基本处理要求与</w:t>
      </w:r>
      <w:r>
        <w:rPr>
          <w:rFonts w:cs="Times New Roman" w:eastAsiaTheme="minorEastAsia"/>
          <w:sz w:val="24"/>
        </w:rPr>
        <w:t>WS/T 661—2020</w:t>
      </w:r>
      <w:r>
        <w:rPr>
          <w:rFonts w:hint="eastAsia" w:cs="Times New Roman" w:eastAsiaTheme="minorEastAsia"/>
          <w:sz w:val="24"/>
        </w:rPr>
        <w:t>、</w:t>
      </w:r>
      <w:r>
        <w:rPr>
          <w:rFonts w:cs="Times New Roman" w:eastAsiaTheme="minorEastAsia"/>
          <w:sz w:val="24"/>
        </w:rPr>
        <w:t>WS/T 225—2024</w:t>
      </w:r>
      <w:r>
        <w:rPr>
          <w:rFonts w:hint="eastAsia" w:cs="Times New Roman" w:eastAsiaTheme="minorEastAsia"/>
          <w:sz w:val="24"/>
        </w:rPr>
        <w:t>相衔接，质量管理、记录追溯和偏差管理要求与</w:t>
      </w:r>
      <w:r>
        <w:rPr>
          <w:rFonts w:cs="Times New Roman" w:eastAsiaTheme="minorEastAsia"/>
          <w:sz w:val="24"/>
        </w:rPr>
        <w:t>GB/T 22576.1—2026</w:t>
      </w:r>
      <w:r>
        <w:rPr>
          <w:rFonts w:hint="eastAsia" w:cs="Times New Roman" w:eastAsiaTheme="minorEastAsia"/>
          <w:sz w:val="24"/>
        </w:rPr>
        <w:t>相协调。处理时效、低温保存、运输、冻融及异常样本处置等条款综合参考GBSC、SABB等研究和相关指南，并结合基层采样、跨机构转运及医学实验室实际条件制定。</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本标准不涉及专利技术、注册商标、专有配方或专用检测平台，不强制采用特定品牌的仪器、试剂或耗材。现有资料未发现实施本标准所必需的专利。本标准为首次制定，不涉及修订标准的新旧标准水平对比。</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主要试验、验证及试行结果。</w:t>
      </w:r>
    </w:p>
    <w:p>
      <w:pPr>
        <w:widowControl/>
        <w:spacing w:line="360" w:lineRule="auto"/>
        <w:ind w:firstLine="480"/>
        <w:jc w:val="left"/>
        <w:rPr>
          <w:rFonts w:cs="Times New Roman" w:eastAsiaTheme="minorEastAsia"/>
          <w:sz w:val="24"/>
        </w:rPr>
      </w:pPr>
      <w:r>
        <w:rPr>
          <w:rFonts w:hint="eastAsia" w:cs="Times New Roman" w:eastAsiaTheme="minorEastAsia"/>
          <w:sz w:val="24"/>
        </w:rPr>
        <w:t>起草组已将多检测平台关键参数头对头比较和基层转运场景评价纳入研制计划。验证拟采用同一受试者配对样本，将参考流程与预设偏离条件进行比较，重点考察离心前延迟、分离后延迟冻存、</w:t>
      </w:r>
      <w:r>
        <w:rPr>
          <w:rFonts w:cs="Times New Roman" w:eastAsiaTheme="minorEastAsia"/>
          <w:sz w:val="24"/>
        </w:rPr>
        <w:t>−20 ℃</w:t>
      </w:r>
      <w:r>
        <w:rPr>
          <w:rFonts w:hint="eastAsia" w:cs="Times New Roman" w:eastAsiaTheme="minorEastAsia"/>
          <w:sz w:val="24"/>
        </w:rPr>
        <w:t>短期保存、运输温度与时长、冻融等因素。不同平台采用各自经验证的检测方法和精密度要求，避免直接比较未经校准的绝对浓度。</w:t>
      </w:r>
    </w:p>
    <w:p>
      <w:pPr>
        <w:widowControl/>
        <w:spacing w:line="360" w:lineRule="auto"/>
        <w:ind w:firstLine="480"/>
        <w:jc w:val="left"/>
        <w:rPr>
          <w:rFonts w:cs="Times New Roman" w:eastAsiaTheme="minorEastAsia"/>
          <w:sz w:val="24"/>
        </w:rPr>
      </w:pPr>
      <w:r>
        <w:rPr>
          <w:rFonts w:hint="eastAsia" w:cs="Times New Roman" w:eastAsiaTheme="minorEastAsia"/>
          <w:sz w:val="24"/>
        </w:rPr>
        <w:t>标准正式发布后，可选择部分起草或应用单位开展先行应用，结合院内样本处理和基层采样点至中心实验室转运等场景，持续积累实施资料。后续如形成专项验证或试行结果，可据实评价其适用条件、局限性及对相关条款的支持程度。</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采用国际标准或国外先进标准的情况。</w:t>
      </w:r>
    </w:p>
    <w:p>
      <w:pPr>
        <w:widowControl/>
        <w:spacing w:line="360" w:lineRule="auto"/>
        <w:ind w:firstLine="480"/>
        <w:jc w:val="left"/>
        <w:rPr>
          <w:rFonts w:cs="Times New Roman" w:eastAsiaTheme="minorEastAsia"/>
          <w:sz w:val="24"/>
        </w:rPr>
      </w:pPr>
      <w:r>
        <w:rPr>
          <w:rFonts w:hint="eastAsia" w:cs="Times New Roman" w:eastAsiaTheme="minorEastAsia"/>
          <w:sz w:val="24"/>
        </w:rPr>
        <w:t>经检索，尚无与本标准名称、适用范围和技术内容完全相同的国际标准，本标准未等同采用或修改采用国际标准。编制过程中参考SABB、GBSC、NACC ADRC工作组以及国际血液标志物实践指南提出的样本采集、处理、保存和追溯建议。本标准充分结合我国现行标准和专病规范，包括</w:t>
      </w:r>
      <w:r>
        <w:rPr>
          <w:rFonts w:cs="Times New Roman" w:eastAsiaTheme="minorEastAsia"/>
          <w:sz w:val="24"/>
        </w:rPr>
        <w:t>WS/T 661—2020</w:t>
      </w:r>
      <w:r>
        <w:rPr>
          <w:rFonts w:hint="eastAsia" w:cs="Times New Roman" w:eastAsiaTheme="minorEastAsia"/>
          <w:sz w:val="24"/>
        </w:rPr>
        <w:t>、</w:t>
      </w:r>
      <w:r>
        <w:rPr>
          <w:rFonts w:cs="Times New Roman" w:eastAsiaTheme="minorEastAsia"/>
          <w:sz w:val="24"/>
        </w:rPr>
        <w:t>WS/T 225—2024</w:t>
      </w:r>
      <w:r>
        <w:rPr>
          <w:rFonts w:hint="eastAsia" w:cs="Times New Roman" w:eastAsiaTheme="minorEastAsia"/>
          <w:sz w:val="24"/>
        </w:rPr>
        <w:t>、</w:t>
      </w:r>
      <w:r>
        <w:rPr>
          <w:rFonts w:cs="Times New Roman" w:eastAsiaTheme="minorEastAsia"/>
          <w:sz w:val="24"/>
        </w:rPr>
        <w:t>GB/T 22576.1—2026</w:t>
      </w:r>
      <w:r>
        <w:rPr>
          <w:rFonts w:hint="eastAsia" w:cs="Times New Roman" w:eastAsiaTheme="minorEastAsia"/>
          <w:sz w:val="24"/>
        </w:rPr>
        <w:t>、《阿尔茨海默病体液标志物临床应用中国指南（2024版）》及《阿尔茨海默病血液生物标志物检测前样本处理操作规范（2026版）》等。国内相关文件在静脉采血、临床化学标本处理、医学实验室质量管理及AD血液标志物检测前管理方面提供直接依据；本标准在此基础上，结合我国医疗机构布局、基层采样转运条件和实验室运行实际，对AD血液标志物样本预处理流程作进一步细化。</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与现行法律法规、强制性标准和其他有关标准的关系（推荐性国家标准、推荐性行业标准、团体标准、国际标准和国外先进标准等）。</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本标准符合《中华人民共和国标准化法》《团体标准管理规定》等要求，不与现行法律、行政法规及强制性标准相冲突。</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本标准与</w:t>
      </w:r>
      <w:r>
        <w:rPr>
          <w:rFonts w:cs="Times New Roman" w:eastAsiaTheme="minorEastAsia"/>
          <w:sz w:val="24"/>
        </w:rPr>
        <w:t>WS/T 661—2020、WS/T 225—2024</w:t>
      </w:r>
      <w:r>
        <w:rPr>
          <w:rFonts w:hint="eastAsia" w:cs="Times New Roman" w:eastAsiaTheme="minorEastAsia"/>
          <w:sz w:val="24"/>
        </w:rPr>
        <w:t>的关系为通用采血处理要求与AD专病流程细化之间的衔接；与</w:t>
      </w:r>
      <w:r>
        <w:rPr>
          <w:rFonts w:cs="Times New Roman" w:eastAsiaTheme="minorEastAsia"/>
          <w:sz w:val="24"/>
        </w:rPr>
        <w:t>GB/T 22576.1—2026</w:t>
      </w:r>
      <w:r>
        <w:rPr>
          <w:rFonts w:hint="eastAsia" w:cs="Times New Roman" w:eastAsiaTheme="minorEastAsia"/>
          <w:sz w:val="24"/>
        </w:rPr>
        <w:t>的关系为医学实验室质量体系要求与具体样本预处理操作之间的衔接。本标准与《阿尔茨海默病体液标志物临床应用中国指南（2024版）》及《阿尔茨海默病血液生物标志物检测前样本处理操作规范（2026版）》总体协调，在适用范围、流程衔接、偏差管理和记录追溯方面作进一步细化，不替代上述指南或规范。</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重大分歧或重难点的处理经过和依据。</w:t>
      </w:r>
    </w:p>
    <w:p>
      <w:pPr>
        <w:widowControl/>
        <w:spacing w:line="360" w:lineRule="auto"/>
        <w:ind w:firstLine="480"/>
        <w:jc w:val="left"/>
        <w:rPr>
          <w:rFonts w:cs="Times New Roman" w:eastAsiaTheme="minorEastAsia"/>
          <w:sz w:val="24"/>
        </w:rPr>
      </w:pPr>
      <w:r>
        <w:rPr>
          <w:rFonts w:cs="Times New Roman" w:eastAsiaTheme="minorEastAsia"/>
          <w:sz w:val="24"/>
        </w:rPr>
        <w:t>标准制定过程中尚未出现需要表决或仲裁处理的重大分歧。讨论重点主要集中在适用范围、关键时间窗、运输条件、具体参数的证据边界及标准实施的可行性</w:t>
      </w:r>
      <w:r>
        <w:rPr>
          <w:rFonts w:hint="eastAsia" w:cs="Times New Roman" w:eastAsiaTheme="minorEastAsia"/>
          <w:sz w:val="24"/>
        </w:rPr>
        <w:t>，</w:t>
      </w:r>
      <w:r>
        <w:rPr>
          <w:rFonts w:cs="Times New Roman" w:eastAsiaTheme="minorEastAsia"/>
          <w:sz w:val="24"/>
        </w:rPr>
        <w:t>但在以下内容上进行了重点讨论和多轮修改：</w:t>
      </w:r>
    </w:p>
    <w:p>
      <w:pPr>
        <w:widowControl/>
        <w:spacing w:line="360" w:lineRule="auto"/>
        <w:ind w:firstLine="480"/>
        <w:jc w:val="left"/>
        <w:rPr>
          <w:rFonts w:cs="Times New Roman" w:eastAsiaTheme="minorEastAsia"/>
          <w:sz w:val="24"/>
        </w:rPr>
      </w:pPr>
      <w:r>
        <w:rPr>
          <w:rFonts w:cs="Times New Roman" w:eastAsiaTheme="minorEastAsia"/>
          <w:sz w:val="24"/>
        </w:rPr>
        <w:t>关于适用范围，起草组保留现有标准名称，并在第1章明确仅适用于K₂-EDTA血浆，同时列明排除基质，以兼顾名称简洁性和技术边界。关于处理时效，将采血至冻存不超过2 h作为推荐条件，将室温4 h和冷藏7 h作为无法执行最佳流程时的可接受偏离，并设置超限样本评估和结果备注要求。关于运输，不再以“−20 ℃运输”概括全部场景，而是分别规定冷藏、冷冻和干冰运输的样本状态、包装、温度监测和异常处置。关于离心、冻融和溶血等参数，明确条款适用性应结合标志物、分析平台及验证资料，不将管理限值解释为所有方法共同的生物学失稳阈值。上述处理均已在技术审查反馈材料中记录。</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作为强制性标准或推荐性标准的建议。</w:t>
      </w:r>
    </w:p>
    <w:p>
      <w:pPr>
        <w:widowControl/>
        <w:spacing w:line="360" w:lineRule="auto"/>
        <w:ind w:firstLine="480"/>
        <w:jc w:val="left"/>
        <w:rPr>
          <w:rFonts w:cs="Times New Roman" w:eastAsiaTheme="minorEastAsia"/>
          <w:sz w:val="24"/>
        </w:rPr>
      </w:pPr>
      <w:r>
        <w:rPr>
          <w:rFonts w:hint="eastAsia" w:cs="Times New Roman" w:eastAsiaTheme="minorEastAsia"/>
          <w:sz w:val="24"/>
        </w:rPr>
        <w:t>建议将本标准作为北京慢性病防治与健康教育研究会推荐性团体标准发布实施。本标准主要为医疗机构、检验实验室、科研机构和多中心研究建立统一样本预处理流程提供技术依据，适用单位在遵守法律法规、强制性标准和检测系统说明书的前提下自愿采用。团体标准的发布不替代行政许可、医学检验资质、临床诊疗规范和检测方法性能验证。</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贯彻该标准的要求、措施建议及预期效果。</w:t>
      </w:r>
    </w:p>
    <w:p>
      <w:pPr>
        <w:widowControl/>
        <w:spacing w:line="360" w:lineRule="auto"/>
        <w:ind w:firstLine="480"/>
        <w:jc w:val="left"/>
        <w:rPr>
          <w:rFonts w:cs="Times New Roman" w:eastAsiaTheme="minorEastAsia"/>
          <w:sz w:val="24"/>
        </w:rPr>
      </w:pPr>
      <w:r>
        <w:rPr>
          <w:rFonts w:hint="eastAsia" w:cs="Times New Roman" w:eastAsiaTheme="minorEastAsia"/>
          <w:sz w:val="24"/>
        </w:rPr>
        <w:t>（一）宣贯对象和方式</w:t>
      </w:r>
    </w:p>
    <w:p>
      <w:pPr>
        <w:widowControl/>
        <w:spacing w:line="360" w:lineRule="auto"/>
        <w:ind w:firstLine="480"/>
        <w:jc w:val="left"/>
        <w:rPr>
          <w:rFonts w:cs="Times New Roman" w:eastAsiaTheme="minorEastAsia"/>
          <w:sz w:val="24"/>
        </w:rPr>
      </w:pPr>
      <w:r>
        <w:rPr>
          <w:rFonts w:hint="eastAsia" w:cs="Times New Roman" w:eastAsiaTheme="minorEastAsia"/>
          <w:sz w:val="24"/>
        </w:rPr>
        <w:t>标准发布后，建议由归口单位和起草单位面向神经内科、老年医学科、检验医学科、医学检验实验室、科研样本库、多中心研究单位及基层采样点人员开展宣贯。可通过研究会网站、专业会议、继续教育、专题培训和线上课程解读适用范围、关键时间窗、离心分装、冷链交接、异常样本处置和追溯记录要求等内容。</w:t>
      </w:r>
    </w:p>
    <w:p>
      <w:pPr>
        <w:widowControl/>
        <w:spacing w:line="360" w:lineRule="auto"/>
        <w:ind w:firstLine="480"/>
        <w:jc w:val="left"/>
        <w:rPr>
          <w:rFonts w:cs="Times New Roman" w:eastAsiaTheme="minorEastAsia"/>
          <w:sz w:val="24"/>
        </w:rPr>
      </w:pPr>
      <w:r>
        <w:rPr>
          <w:rFonts w:hint="eastAsia" w:cs="Times New Roman" w:eastAsiaTheme="minorEastAsia"/>
          <w:sz w:val="24"/>
        </w:rPr>
        <w:t>（二）实施建议</w:t>
      </w:r>
    </w:p>
    <w:p>
      <w:pPr>
        <w:widowControl/>
        <w:spacing w:line="360" w:lineRule="auto"/>
        <w:ind w:firstLine="480"/>
        <w:jc w:val="left"/>
        <w:rPr>
          <w:rFonts w:cs="Times New Roman" w:eastAsiaTheme="minorEastAsia"/>
          <w:sz w:val="24"/>
        </w:rPr>
      </w:pPr>
      <w:r>
        <w:rPr>
          <w:rFonts w:hint="eastAsia" w:cs="Times New Roman" w:eastAsiaTheme="minorEastAsia"/>
          <w:sz w:val="24"/>
        </w:rPr>
        <w:t>采用单位应结合本机构人员、设备、检测项目及运输条件制定经批准的标准操作程序，明确采血、处理、运输、接收、冻存和检测前核对职责。正式实施前宜开展人员培训和流程验证，对与标准不一致的既有流程进行风险评估；使用不同检测平台时，应核对说明书和本平台稳定性验证结果。</w:t>
      </w:r>
    </w:p>
    <w:p>
      <w:pPr>
        <w:widowControl/>
        <w:spacing w:line="360" w:lineRule="auto"/>
        <w:ind w:firstLine="480"/>
        <w:jc w:val="left"/>
        <w:rPr>
          <w:rFonts w:cs="Times New Roman" w:eastAsiaTheme="minorEastAsia"/>
          <w:sz w:val="24"/>
        </w:rPr>
      </w:pPr>
      <w:r>
        <w:rPr>
          <w:rFonts w:hint="eastAsia" w:cs="Times New Roman" w:eastAsiaTheme="minorEastAsia"/>
          <w:sz w:val="24"/>
        </w:rPr>
        <w:t>（三）预期效果</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实施后，预期可减少因处理延迟、温度暴露、分装不一致、冷链中断和记录缺失造成的分析前偏差，提高样本接收和偏差处置的一致性，改善基层采样点、中心实验室和多中心研究之间的流程衔接。样本预处理标准化不能单独实现不同检测平台结果互换，跨平台可比性仍需依赖参考物质、方法校准、室内质量控制和室间质量评价。</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废止或代替现行相关标准的建议。</w:t>
      </w:r>
    </w:p>
    <w:p>
      <w:pPr>
        <w:widowControl/>
        <w:spacing w:line="360" w:lineRule="auto"/>
        <w:ind w:firstLine="480"/>
        <w:jc w:val="left"/>
        <w:rPr>
          <w:rFonts w:cs="Times New Roman" w:eastAsiaTheme="minorEastAsia"/>
          <w:sz w:val="24"/>
        </w:rPr>
      </w:pPr>
      <w:r>
        <w:rPr>
          <w:rFonts w:hint="eastAsia" w:cs="Times New Roman" w:eastAsiaTheme="minorEastAsia"/>
          <w:sz w:val="24"/>
        </w:rPr>
        <w:t>本标准为首次制定，不提出废止或代替现行国家标准、行业标准、团体标准及指南共识的建议。对于静脉采血、临床化学标本处理、医学实验室质量管理和专病临床应用等事项，仍应执行相应现行文件。</w:t>
      </w:r>
    </w:p>
    <w:p>
      <w:pPr>
        <w:widowControl/>
        <w:spacing w:line="360" w:lineRule="auto"/>
        <w:ind w:firstLine="480"/>
        <w:jc w:val="left"/>
        <w:rPr>
          <w:rFonts w:cs="Times New Roman" w:eastAsiaTheme="minorEastAsia"/>
          <w:sz w:val="24"/>
        </w:rPr>
      </w:pPr>
    </w:p>
    <w:p>
      <w:pPr>
        <w:widowControl/>
        <w:numPr>
          <w:ilvl w:val="0"/>
          <w:numId w:val="1"/>
        </w:numPr>
        <w:spacing w:line="360" w:lineRule="auto"/>
        <w:ind w:firstLine="48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其他应予说明的事项。</w:t>
      </w:r>
    </w:p>
    <w:p>
      <w:pPr>
        <w:widowControl/>
        <w:spacing w:line="360" w:lineRule="auto"/>
        <w:ind w:left="600" w:leftChars="200" w:firstLine="0" w:firstLine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无。</w:t>
      </w:r>
    </w:p>
    <w:p>
      <w:pPr>
        <w:widowControl/>
        <w:ind w:firstLine="0" w:firstLineChars="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C4910"/>
    <w:multiLevelType w:val="singleLevel"/>
    <w:tmpl w:val="5A0C491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ZDQzMmM1NGQ5NTBjMjE5MWVkZjVmNTQ4MWU2MjkifQ=="/>
  </w:docVars>
  <w:rsids>
    <w:rsidRoot w:val="76F57A64"/>
    <w:rsid w:val="000036D4"/>
    <w:rsid w:val="000E0DD2"/>
    <w:rsid w:val="001A7207"/>
    <w:rsid w:val="00235E2E"/>
    <w:rsid w:val="006A54C4"/>
    <w:rsid w:val="009A1EDC"/>
    <w:rsid w:val="00A13467"/>
    <w:rsid w:val="00AB1952"/>
    <w:rsid w:val="00F32CAF"/>
    <w:rsid w:val="32161D09"/>
    <w:rsid w:val="34D97F1B"/>
    <w:rsid w:val="4F142D3A"/>
    <w:rsid w:val="76F57A64"/>
    <w:rsid w:val="7A011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宋体" w:cstheme="minorBidi"/>
      <w:kern w:val="2"/>
      <w:sz w:val="30"/>
      <w:szCs w:val="24"/>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745</Words>
  <Characters>4253</Characters>
  <Lines>35</Lines>
  <Paragraphs>9</Paragraphs>
  <TotalTime>0</TotalTime>
  <ScaleCrop>false</ScaleCrop>
  <LinksUpToDate>false</LinksUpToDate>
  <CharactersWithSpaces>4989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2024-10-28T07:06:00Z</dcterms:created>
  <dc:creator>W HY</dc:creator>
  <cp:lastModifiedBy>明</cp:lastModifiedBy>
  <dcterms:modified xsi:type="dcterms:W3CDTF">2026-11-02T07:13:49Z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D908F30A8007490D94ECA9F7AC2D74F2_11</vt:lpwstr>
  </property>
  <property fmtid="{D5CDD505-2E9C-101B-9397-08002B2CF9AE}" pid="4" name="KSOTemplateDocerSaveRecord">
    <vt:lpwstr>eyJoZGlkIjoiYTczNGZkOTUwZWQ2YzAxMjAxYWRmN2M3YTgzMjk3M2EiLCJ1c2VySWQiOiI1NjQ5NTE1MDUifQ==</vt:lpwstr>
  </property>
</Properties>
</file>