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宋体" w:cs="Times New Roman"/>
          <w:szCs w:val="20"/>
        </w:rPr>
      </w:pPr>
    </w:p>
    <w:p>
      <w:pPr>
        <w:spacing w:line="400" w:lineRule="exact"/>
        <w:jc w:val="left"/>
        <w:rPr>
          <w:rFonts w:ascii="仿宋" w:hAnsi="宋体" w:eastAsia="仿宋"/>
          <w:sz w:val="28"/>
          <w:szCs w:val="28"/>
          <w:highlight w:val="none"/>
        </w:rPr>
      </w:pPr>
      <w:r>
        <w:rPr>
          <w:rFonts w:hint="eastAsia" w:ascii="仿宋" w:hAnsi="宋体" w:eastAsia="仿宋"/>
          <w:sz w:val="28"/>
          <w:szCs w:val="28"/>
          <w:highlight w:val="none"/>
        </w:rPr>
        <w:t>I</w:t>
      </w:r>
      <w:r>
        <w:rPr>
          <w:rFonts w:ascii="仿宋" w:hAnsi="宋体" w:eastAsia="仿宋"/>
          <w:sz w:val="28"/>
          <w:szCs w:val="28"/>
          <w:highlight w:val="none"/>
        </w:rPr>
        <w:t>CS</w:t>
      </w:r>
      <w:r>
        <w:rPr>
          <w:rFonts w:hint="eastAsia" w:ascii="仿宋" w:hAnsi="宋体" w:eastAsia="仿宋"/>
          <w:sz w:val="28"/>
          <w:szCs w:val="28"/>
          <w:highlight w:val="none"/>
        </w:rPr>
        <w:t>号</w:t>
      </w:r>
    </w:p>
    <w:p>
      <w:pPr>
        <w:spacing w:line="400" w:lineRule="exact"/>
        <w:jc w:val="left"/>
        <w:rPr>
          <w:rFonts w:ascii="仿宋" w:hAnsi="宋体" w:eastAsia="仿宋"/>
          <w:sz w:val="28"/>
          <w:szCs w:val="28"/>
          <w:highlight w:val="none"/>
        </w:rPr>
      </w:pPr>
      <w:r>
        <w:rPr>
          <w:rFonts w:hint="eastAsia" w:ascii="仿宋" w:hAnsi="宋体" w:eastAsia="仿宋"/>
          <w:sz w:val="28"/>
          <w:szCs w:val="28"/>
          <w:highlight w:val="none"/>
        </w:rPr>
        <w:t>中国标准文献分类号</w:t>
      </w:r>
    </w:p>
    <w:p>
      <w:pPr>
        <w:spacing w:before="312" w:beforeLines="100" w:after="312" w:afterLines="100"/>
        <w:jc w:val="center"/>
        <w:rPr>
          <w:rFonts w:ascii="宋体" w:hAnsi="宋体"/>
          <w:sz w:val="96"/>
          <w:szCs w:val="28"/>
          <w:highlight w:val="none"/>
        </w:rPr>
      </w:pPr>
      <w:r>
        <w:rPr>
          <w:rFonts w:hint="eastAsia" w:ascii="宋体" w:hAnsi="宋体"/>
          <w:sz w:val="96"/>
          <w:szCs w:val="28"/>
          <w:highlight w:val="none"/>
        </w:rPr>
        <w:t xml:space="preserve">团 </w:t>
      </w:r>
      <w:r>
        <w:rPr>
          <w:rFonts w:ascii="宋体" w:hAnsi="宋体"/>
          <w:sz w:val="96"/>
          <w:szCs w:val="28"/>
          <w:highlight w:val="none"/>
        </w:rPr>
        <w:t xml:space="preserve"> </w:t>
      </w:r>
      <w:r>
        <w:rPr>
          <w:rFonts w:hint="eastAsia" w:ascii="宋体" w:hAnsi="宋体"/>
          <w:sz w:val="96"/>
          <w:szCs w:val="28"/>
          <w:highlight w:val="none"/>
        </w:rPr>
        <w:t xml:space="preserve">体 </w:t>
      </w:r>
      <w:r>
        <w:rPr>
          <w:rFonts w:ascii="宋体" w:hAnsi="宋体"/>
          <w:sz w:val="96"/>
          <w:szCs w:val="28"/>
          <w:highlight w:val="none"/>
        </w:rPr>
        <w:t xml:space="preserve"> </w:t>
      </w:r>
      <w:r>
        <w:rPr>
          <w:rFonts w:hint="eastAsia" w:ascii="宋体" w:hAnsi="宋体"/>
          <w:sz w:val="96"/>
          <w:szCs w:val="28"/>
          <w:highlight w:val="none"/>
        </w:rPr>
        <w:t xml:space="preserve">标 </w:t>
      </w:r>
      <w:r>
        <w:rPr>
          <w:rFonts w:ascii="宋体" w:hAnsi="宋体"/>
          <w:sz w:val="96"/>
          <w:szCs w:val="28"/>
          <w:highlight w:val="none"/>
        </w:rPr>
        <w:t xml:space="preserve"> </w:t>
      </w:r>
      <w:r>
        <w:rPr>
          <w:rFonts w:hint="eastAsia" w:ascii="宋体" w:hAnsi="宋体"/>
          <w:sz w:val="96"/>
          <w:szCs w:val="28"/>
          <w:highlight w:val="none"/>
        </w:rPr>
        <w:t>准</w:t>
      </w:r>
    </w:p>
    <w:p>
      <w:pPr>
        <w:ind w:firstLine="440"/>
        <w:jc w:val="right"/>
        <w:rPr>
          <w:rFonts w:ascii="黑体" w:hAnsi="黑体" w:eastAsia="黑体"/>
          <w:sz w:val="22"/>
          <w:szCs w:val="28"/>
          <w:highlight w:val="none"/>
        </w:rPr>
      </w:pPr>
      <w:r>
        <w:rPr>
          <w:rFonts w:hint="eastAsia" w:ascii="黑体" w:hAnsi="黑体" w:eastAsia="黑体"/>
          <w:sz w:val="22"/>
          <w:szCs w:val="28"/>
          <w:highlight w:val="none"/>
        </w:rPr>
        <w:t>团体标准编号T</w:t>
      </w:r>
      <w:r>
        <w:rPr>
          <w:rFonts w:ascii="黑体" w:hAnsi="黑体" w:eastAsia="黑体"/>
          <w:sz w:val="22"/>
          <w:szCs w:val="28"/>
          <w:highlight w:val="none"/>
        </w:rPr>
        <w:t>/</w:t>
      </w:r>
      <w:r>
        <w:rPr>
          <w:rFonts w:hint="eastAsia" w:ascii="黑体" w:hAnsi="黑体" w:eastAsia="黑体"/>
          <w:sz w:val="22"/>
          <w:szCs w:val="28"/>
          <w:highlight w:val="none"/>
        </w:rPr>
        <w:t>BRA-CDCHE- BZ-202601030</w:t>
      </w:r>
    </w:p>
    <w:p>
      <w:pPr>
        <w:spacing w:line="240" w:lineRule="exact"/>
        <w:jc w:val="left"/>
        <w:rPr>
          <w:rFonts w:ascii="宋体" w:hAnsi="宋体"/>
          <w:sz w:val="28"/>
          <w:szCs w:val="28"/>
          <w:highlight w:val="none"/>
          <w:u w:val="single"/>
        </w:rPr>
      </w:pPr>
      <w:r>
        <w:rPr>
          <w:rFonts w:hint="eastAsia" w:ascii="宋体" w:hAnsi="宋体"/>
          <w:sz w:val="28"/>
          <w:szCs w:val="28"/>
          <w:highlight w:val="none"/>
          <w:u w:val="single"/>
        </w:rPr>
        <w:t xml:space="preserve"> </w:t>
      </w:r>
      <w:r>
        <w:rPr>
          <w:rFonts w:ascii="宋体" w:hAnsi="宋体"/>
          <w:sz w:val="28"/>
          <w:szCs w:val="28"/>
          <w:highlight w:val="none"/>
          <w:u w:val="single"/>
        </w:rPr>
        <w:t xml:space="preserve">                                                          </w:t>
      </w:r>
    </w:p>
    <w:p>
      <w:pPr>
        <w:ind w:firstLine="560"/>
        <w:jc w:val="left"/>
        <w:rPr>
          <w:rFonts w:ascii="宋体" w:hAnsi="宋体"/>
          <w:sz w:val="28"/>
          <w:szCs w:val="28"/>
          <w:highlight w:val="none"/>
        </w:rPr>
      </w:pPr>
    </w:p>
    <w:p>
      <w:pPr>
        <w:ind w:firstLine="560"/>
        <w:jc w:val="left"/>
        <w:rPr>
          <w:rFonts w:ascii="宋体" w:hAnsi="宋体"/>
          <w:sz w:val="28"/>
          <w:szCs w:val="28"/>
          <w:highlight w:val="none"/>
        </w:rPr>
      </w:pPr>
    </w:p>
    <w:p>
      <w:pPr>
        <w:jc w:val="left"/>
        <w:rPr>
          <w:rFonts w:ascii="宋体" w:hAnsi="宋体"/>
          <w:sz w:val="28"/>
          <w:szCs w:val="28"/>
          <w:highlight w:val="none"/>
        </w:rPr>
      </w:pPr>
    </w:p>
    <w:p>
      <w:pPr>
        <w:jc w:val="center"/>
        <w:rPr>
          <w:rFonts w:ascii="黑体" w:hAnsi="黑体" w:eastAsia="黑体"/>
          <w:sz w:val="52"/>
          <w:szCs w:val="28"/>
          <w:highlight w:val="none"/>
        </w:rPr>
      </w:pPr>
      <w:r>
        <w:rPr>
          <w:rFonts w:hint="eastAsia" w:ascii="黑体" w:hAnsi="黑体" w:eastAsia="黑体"/>
          <w:sz w:val="52"/>
          <w:szCs w:val="28"/>
          <w:highlight w:val="none"/>
        </w:rPr>
        <w:t>阿尔茨海默病血液生物标志物样本预处理技术规范</w:t>
      </w:r>
    </w:p>
    <w:p>
      <w:pPr>
        <w:ind w:firstLine="560"/>
        <w:jc w:val="center"/>
        <w:rPr>
          <w:rFonts w:ascii="Times New Roman" w:hAnsi="Times New Roman" w:cs="Times New Roman"/>
          <w:sz w:val="28"/>
          <w:szCs w:val="28"/>
          <w:highlight w:val="none"/>
        </w:rPr>
      </w:pPr>
      <w:r>
        <w:rPr>
          <w:rFonts w:ascii="Times New Roman" w:hAnsi="Times New Roman" w:cs="Times New Roman"/>
          <w:sz w:val="28"/>
          <w:szCs w:val="28"/>
          <w:highlight w:val="none"/>
        </w:rPr>
        <w:t>Technical specification for pre-analytical processing of blood biomarker samples for Alzheimer's disease</w:t>
      </w:r>
    </w:p>
    <w:p>
      <w:pPr>
        <w:ind w:firstLine="560"/>
        <w:jc w:val="center"/>
        <w:rPr>
          <w:rFonts w:ascii="宋体" w:hAnsi="宋体"/>
          <w:sz w:val="28"/>
          <w:szCs w:val="28"/>
          <w:highlight w:val="none"/>
        </w:rPr>
      </w:pPr>
    </w:p>
    <w:p>
      <w:pPr>
        <w:jc w:val="left"/>
        <w:rPr>
          <w:rFonts w:ascii="宋体" w:hAnsi="宋体"/>
          <w:sz w:val="28"/>
          <w:szCs w:val="28"/>
          <w:highlight w:val="none"/>
        </w:rPr>
      </w:pPr>
    </w:p>
    <w:p>
      <w:pPr>
        <w:ind w:firstLine="560"/>
        <w:jc w:val="left"/>
        <w:rPr>
          <w:rFonts w:ascii="宋体" w:hAnsi="宋体"/>
          <w:sz w:val="28"/>
          <w:szCs w:val="28"/>
          <w:highlight w:val="none"/>
        </w:rPr>
      </w:pPr>
    </w:p>
    <w:p>
      <w:pPr>
        <w:ind w:firstLine="560"/>
        <w:jc w:val="left"/>
        <w:rPr>
          <w:rFonts w:ascii="宋体" w:hAnsi="宋体"/>
          <w:sz w:val="28"/>
          <w:szCs w:val="28"/>
          <w:highlight w:val="none"/>
        </w:rPr>
      </w:pPr>
    </w:p>
    <w:p>
      <w:pPr>
        <w:ind w:firstLine="280" w:firstLineChars="100"/>
        <w:jc w:val="left"/>
        <w:rPr>
          <w:rFonts w:ascii="宋体" w:hAnsi="宋体"/>
          <w:sz w:val="28"/>
          <w:szCs w:val="28"/>
          <w:highlight w:val="none"/>
        </w:rPr>
      </w:pPr>
      <w:r>
        <w:rPr>
          <w:rFonts w:hint="eastAsia" w:ascii="宋体" w:hAnsi="宋体"/>
          <w:sz w:val="28"/>
          <w:szCs w:val="28"/>
          <w:highlight w:val="none"/>
        </w:rPr>
        <w:t>X</w:t>
      </w:r>
      <w:r>
        <w:rPr>
          <w:rFonts w:ascii="宋体" w:hAnsi="宋体"/>
          <w:sz w:val="28"/>
          <w:szCs w:val="28"/>
          <w:highlight w:val="none"/>
        </w:rPr>
        <w:t>XXX</w:t>
      </w:r>
      <w:r>
        <w:rPr>
          <w:rFonts w:hint="eastAsia" w:ascii="宋体" w:hAnsi="宋体"/>
          <w:sz w:val="28"/>
          <w:szCs w:val="28"/>
          <w:highlight w:val="none"/>
        </w:rPr>
        <w:t>年X</w:t>
      </w:r>
      <w:r>
        <w:rPr>
          <w:rFonts w:ascii="宋体" w:hAnsi="宋体"/>
          <w:sz w:val="28"/>
          <w:szCs w:val="28"/>
          <w:highlight w:val="none"/>
        </w:rPr>
        <w:t>X</w:t>
      </w:r>
      <w:r>
        <w:rPr>
          <w:rFonts w:hint="eastAsia" w:ascii="宋体" w:hAnsi="宋体"/>
          <w:sz w:val="28"/>
          <w:szCs w:val="28"/>
          <w:highlight w:val="none"/>
        </w:rPr>
        <w:t>月X</w:t>
      </w:r>
      <w:r>
        <w:rPr>
          <w:rFonts w:ascii="宋体" w:hAnsi="宋体"/>
          <w:sz w:val="28"/>
          <w:szCs w:val="28"/>
          <w:highlight w:val="none"/>
        </w:rPr>
        <w:t>X</w:t>
      </w:r>
      <w:r>
        <w:rPr>
          <w:rFonts w:hint="eastAsia" w:ascii="宋体" w:hAnsi="宋体"/>
          <w:sz w:val="28"/>
          <w:szCs w:val="28"/>
          <w:highlight w:val="none"/>
        </w:rPr>
        <w:t xml:space="preserve">日 </w:t>
      </w:r>
      <w:r>
        <w:rPr>
          <w:rFonts w:ascii="宋体" w:hAnsi="宋体"/>
          <w:sz w:val="28"/>
          <w:szCs w:val="28"/>
          <w:highlight w:val="none"/>
        </w:rPr>
        <w:t xml:space="preserve">            </w:t>
      </w:r>
      <w:r>
        <w:rPr>
          <w:rFonts w:hint="eastAsia" w:ascii="宋体" w:hAnsi="宋体"/>
          <w:sz w:val="28"/>
          <w:szCs w:val="28"/>
          <w:highlight w:val="none"/>
        </w:rPr>
        <w:t xml:space="preserve">  </w:t>
      </w:r>
      <w:r>
        <w:rPr>
          <w:rFonts w:ascii="宋体" w:hAnsi="宋体"/>
          <w:sz w:val="28"/>
          <w:szCs w:val="28"/>
          <w:highlight w:val="none"/>
        </w:rPr>
        <w:t xml:space="preserve"> </w:t>
      </w:r>
      <w:r>
        <w:rPr>
          <w:rFonts w:hint="eastAsia" w:ascii="宋体" w:hAnsi="宋体"/>
          <w:sz w:val="28"/>
          <w:szCs w:val="28"/>
          <w:highlight w:val="none"/>
        </w:rPr>
        <w:t>X</w:t>
      </w:r>
      <w:r>
        <w:rPr>
          <w:rFonts w:ascii="宋体" w:hAnsi="宋体"/>
          <w:sz w:val="28"/>
          <w:szCs w:val="28"/>
          <w:highlight w:val="none"/>
        </w:rPr>
        <w:t>XXX</w:t>
      </w:r>
      <w:r>
        <w:rPr>
          <w:rFonts w:hint="eastAsia" w:ascii="宋体" w:hAnsi="宋体"/>
          <w:sz w:val="28"/>
          <w:szCs w:val="28"/>
          <w:highlight w:val="none"/>
        </w:rPr>
        <w:t>年X</w:t>
      </w:r>
      <w:r>
        <w:rPr>
          <w:rFonts w:ascii="宋体" w:hAnsi="宋体"/>
          <w:sz w:val="28"/>
          <w:szCs w:val="28"/>
          <w:highlight w:val="none"/>
        </w:rPr>
        <w:t>X</w:t>
      </w:r>
      <w:r>
        <w:rPr>
          <w:rFonts w:hint="eastAsia" w:ascii="宋体" w:hAnsi="宋体"/>
          <w:sz w:val="28"/>
          <w:szCs w:val="28"/>
          <w:highlight w:val="none"/>
        </w:rPr>
        <w:t>月X</w:t>
      </w:r>
      <w:r>
        <w:rPr>
          <w:rFonts w:ascii="宋体" w:hAnsi="宋体"/>
          <w:sz w:val="28"/>
          <w:szCs w:val="28"/>
          <w:highlight w:val="none"/>
        </w:rPr>
        <w:t>X</w:t>
      </w:r>
      <w:r>
        <w:rPr>
          <w:rFonts w:hint="eastAsia" w:ascii="宋体" w:hAnsi="宋体"/>
          <w:sz w:val="28"/>
          <w:szCs w:val="28"/>
          <w:highlight w:val="none"/>
        </w:rPr>
        <w:t>日实施</w:t>
      </w:r>
    </w:p>
    <w:p>
      <w:pPr>
        <w:ind w:firstLine="280" w:firstLineChars="100"/>
        <w:jc w:val="left"/>
        <w:rPr>
          <w:rFonts w:ascii="宋体" w:hAnsi="宋体"/>
          <w:sz w:val="28"/>
          <w:szCs w:val="28"/>
          <w:highlight w:val="none"/>
          <w:u w:val="single"/>
        </w:rPr>
      </w:pPr>
      <w:r>
        <w:rPr>
          <w:rFonts w:hint="eastAsia" w:ascii="宋体" w:hAnsi="宋体"/>
          <w:sz w:val="28"/>
          <w:szCs w:val="28"/>
          <w:highlight w:val="none"/>
          <w:u w:val="single"/>
        </w:rPr>
        <w:t xml:space="preserve"> </w:t>
      </w:r>
      <w:r>
        <w:rPr>
          <w:rFonts w:ascii="宋体" w:hAnsi="宋体"/>
          <w:sz w:val="28"/>
          <w:szCs w:val="28"/>
          <w:highlight w:val="none"/>
          <w:u w:val="single"/>
        </w:rPr>
        <w:t xml:space="preserve">                                                          </w:t>
      </w:r>
    </w:p>
    <w:p>
      <w:pPr>
        <w:ind w:firstLine="800"/>
        <w:jc w:val="center"/>
        <w:rPr>
          <w:rFonts w:ascii="宋体" w:hAnsi="宋体" w:eastAsia="黑体"/>
          <w:sz w:val="28"/>
          <w:szCs w:val="28"/>
          <w:highlight w:val="none"/>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start="1"/>
          <w:cols w:space="425" w:num="1"/>
          <w:docGrid w:type="lines" w:linePitch="312" w:charSpace="0"/>
        </w:sectPr>
      </w:pPr>
      <w:r>
        <w:rPr>
          <w:rFonts w:hint="eastAsia" w:ascii="宋体" w:hAnsi="宋体"/>
          <w:sz w:val="36"/>
          <w:szCs w:val="24"/>
          <w:highlight w:val="none"/>
        </w:rPr>
        <w:t>北京慢性病防治与健康教育研究会</w:t>
      </w:r>
      <w:r>
        <w:rPr>
          <w:rFonts w:hint="eastAsia" w:ascii="宋体" w:hAnsi="宋体"/>
          <w:sz w:val="40"/>
          <w:szCs w:val="28"/>
          <w:highlight w:val="none"/>
        </w:rPr>
        <w:t xml:space="preserve"> </w:t>
      </w:r>
      <w:r>
        <w:rPr>
          <w:rFonts w:hint="eastAsia" w:ascii="黑体" w:hAnsi="黑体" w:eastAsia="黑体"/>
          <w:sz w:val="28"/>
          <w:szCs w:val="28"/>
          <w:highlight w:val="none"/>
        </w:rPr>
        <w:t>发布</w:t>
      </w:r>
    </w:p>
    <w:p>
      <w:pPr>
        <w:pStyle w:val="28"/>
        <w:tabs>
          <w:tab w:val="left" w:pos="229"/>
          <w:tab w:val="center" w:pos="4215"/>
        </w:tabs>
        <w:jc w:val="left"/>
      </w:pPr>
      <w:bookmarkStart w:id="0" w:name="_Toc510534525"/>
      <w:bookmarkStart w:id="1" w:name="_Toc509933846"/>
      <w:r>
        <w:rPr>
          <w:rFonts w:hint="eastAsia" w:hAnsi="黑体"/>
          <w:b/>
          <w:bCs/>
        </w:rPr>
        <w:tab/>
      </w:r>
      <w:r>
        <w:rPr>
          <w:rFonts w:hint="eastAsia" w:hAnsi="黑体"/>
          <w:b/>
          <w:bCs/>
        </w:rPr>
        <w:tab/>
      </w:r>
      <w:bookmarkStart w:id="2" w:name="_Toc28444"/>
      <w:r>
        <w:rPr>
          <w:rFonts w:hint="eastAsia" w:hAnsi="黑体"/>
          <w:b/>
          <w:bCs/>
        </w:rPr>
        <w:t>目</w:t>
      </w:r>
      <w:r>
        <w:rPr>
          <w:rFonts w:hAnsi="黑体"/>
          <w:b/>
          <w:bCs/>
        </w:rPr>
        <w:t> </w:t>
      </w:r>
      <w:r>
        <w:rPr>
          <w:rFonts w:hint="eastAsia" w:hAnsi="黑体"/>
          <w:b/>
          <w:bCs/>
        </w:rPr>
        <w:t>次</w:t>
      </w:r>
      <w:bookmarkEnd w:id="0"/>
      <w:bookmarkEnd w:id="1"/>
      <w:bookmarkEnd w:id="2"/>
    </w:p>
    <w:p>
      <w:pPr>
        <w:pStyle w:val="12"/>
        <w:tabs>
          <w:tab w:val="right" w:leader="dot" w:pos="8312"/>
        </w:tabs>
        <w:spacing w:before="0" w:after="0" w:line="360" w:lineRule="exact"/>
        <w:rPr>
          <w:rFonts w:ascii="宋体" w:hAnsi="宋体" w:eastAsia="宋体" w:cs="宋体"/>
          <w:b w:val="0"/>
          <w:bCs w:val="0"/>
          <w:sz w:val="21"/>
          <w:szCs w:val="21"/>
        </w:rPr>
      </w:pP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TOC \o "1-1" \h \u </w:instrText>
      </w:r>
      <w:r>
        <w:rPr>
          <w:rFonts w:hint="eastAsia" w:ascii="宋体" w:hAnsi="宋体" w:eastAsia="宋体" w:cs="宋体"/>
          <w:b w:val="0"/>
          <w:bCs w:val="0"/>
          <w:sz w:val="21"/>
          <w:szCs w:val="21"/>
        </w:rPr>
        <w:fldChar w:fldCharType="separate"/>
      </w:r>
      <w:r>
        <w:fldChar w:fldCharType="begin"/>
      </w:r>
      <w:r>
        <w:instrText xml:space="preserve"> HYPERLINK \l "_Toc11634" </w:instrText>
      </w:r>
      <w:r>
        <w:fldChar w:fldCharType="separate"/>
      </w:r>
      <w:r>
        <w:rPr>
          <w:rFonts w:hint="eastAsia" w:ascii="宋体" w:hAnsi="宋体" w:eastAsia="宋体" w:cs="宋体"/>
          <w:b w:val="0"/>
          <w:bCs w:val="0"/>
          <w:sz w:val="21"/>
          <w:szCs w:val="21"/>
        </w:rPr>
        <w:t>前  言</w:t>
      </w:r>
      <w:r>
        <w:rPr>
          <w:rFonts w:hint="eastAsia" w:ascii="宋体" w:hAnsi="宋体" w:eastAsia="宋体" w:cs="宋体"/>
          <w:b w:val="0"/>
          <w:bCs w:val="0"/>
          <w:sz w:val="21"/>
          <w:szCs w:val="21"/>
        </w:rPr>
        <w:tab/>
      </w: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PAGEREF _Toc11634 \h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II</w:t>
      </w:r>
      <w:r>
        <w:rPr>
          <w:rFonts w:hint="eastAsia" w:ascii="宋体" w:hAnsi="宋体" w:eastAsia="宋体" w:cs="宋体"/>
          <w:b w:val="0"/>
          <w:bCs w:val="0"/>
          <w:sz w:val="21"/>
          <w:szCs w:val="21"/>
        </w:rPr>
        <w:fldChar w:fldCharType="end"/>
      </w:r>
      <w:r>
        <w:rPr>
          <w:rFonts w:hint="eastAsia" w:ascii="宋体" w:hAnsi="宋体" w:eastAsia="宋体" w:cs="宋体"/>
          <w:b w:val="0"/>
          <w:bCs w:val="0"/>
          <w:sz w:val="21"/>
          <w:szCs w:val="21"/>
        </w:rPr>
        <w:fldChar w:fldCharType="end"/>
      </w:r>
    </w:p>
    <w:p>
      <w:pPr>
        <w:pStyle w:val="12"/>
        <w:tabs>
          <w:tab w:val="right" w:leader="dot" w:pos="8312"/>
        </w:tabs>
        <w:spacing w:before="0" w:after="0" w:line="360" w:lineRule="exact"/>
        <w:rPr>
          <w:rFonts w:ascii="宋体" w:hAnsi="宋体" w:eastAsia="宋体" w:cs="宋体"/>
          <w:b w:val="0"/>
          <w:bCs w:val="0"/>
          <w:sz w:val="21"/>
          <w:szCs w:val="21"/>
        </w:rPr>
      </w:pPr>
      <w:r>
        <w:fldChar w:fldCharType="begin"/>
      </w:r>
      <w:r>
        <w:instrText xml:space="preserve"> HYPERLINK \l "_Toc1138" </w:instrText>
      </w:r>
      <w:r>
        <w:fldChar w:fldCharType="separate"/>
      </w:r>
      <w:r>
        <w:rPr>
          <w:rFonts w:hint="eastAsia" w:ascii="宋体" w:hAnsi="宋体" w:eastAsia="宋体" w:cs="宋体"/>
          <w:b w:val="0"/>
          <w:bCs w:val="0"/>
          <w:sz w:val="21"/>
          <w:szCs w:val="21"/>
        </w:rPr>
        <w:t>引 言</w:t>
      </w:r>
      <w:r>
        <w:rPr>
          <w:rFonts w:hint="eastAsia" w:ascii="宋体" w:hAnsi="宋体" w:eastAsia="宋体" w:cs="宋体"/>
          <w:b w:val="0"/>
          <w:bCs w:val="0"/>
          <w:sz w:val="21"/>
          <w:szCs w:val="21"/>
        </w:rPr>
        <w:tab/>
      </w: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PAGEREF _Toc1138 \h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III</w:t>
      </w:r>
      <w:r>
        <w:rPr>
          <w:rFonts w:hint="eastAsia" w:ascii="宋体" w:hAnsi="宋体" w:eastAsia="宋体" w:cs="宋体"/>
          <w:b w:val="0"/>
          <w:bCs w:val="0"/>
          <w:sz w:val="21"/>
          <w:szCs w:val="21"/>
        </w:rPr>
        <w:fldChar w:fldCharType="end"/>
      </w:r>
      <w:r>
        <w:rPr>
          <w:rFonts w:hint="eastAsia" w:ascii="宋体" w:hAnsi="宋体" w:eastAsia="宋体" w:cs="宋体"/>
          <w:b w:val="0"/>
          <w:bCs w:val="0"/>
          <w:sz w:val="21"/>
          <w:szCs w:val="21"/>
        </w:rPr>
        <w:fldChar w:fldCharType="end"/>
      </w:r>
    </w:p>
    <w:p>
      <w:pPr>
        <w:pStyle w:val="12"/>
        <w:tabs>
          <w:tab w:val="right" w:leader="dot" w:pos="8312"/>
        </w:tabs>
        <w:spacing w:before="0" w:after="0" w:line="360" w:lineRule="exact"/>
        <w:rPr>
          <w:rFonts w:ascii="宋体" w:hAnsi="宋体" w:eastAsia="宋体" w:cs="宋体"/>
          <w:b w:val="0"/>
          <w:bCs w:val="0"/>
          <w:sz w:val="21"/>
          <w:szCs w:val="21"/>
        </w:rPr>
      </w:pPr>
      <w:r>
        <w:fldChar w:fldCharType="begin"/>
      </w:r>
      <w:r>
        <w:instrText xml:space="preserve"> HYPERLINK \l "_Toc19749" </w:instrText>
      </w:r>
      <w:r>
        <w:fldChar w:fldCharType="separate"/>
      </w:r>
      <w:r>
        <w:rPr>
          <w:rFonts w:hint="eastAsia" w:ascii="宋体" w:hAnsi="宋体" w:eastAsia="宋体" w:cs="宋体"/>
          <w:b w:val="0"/>
          <w:bCs w:val="0"/>
          <w:sz w:val="21"/>
          <w:szCs w:val="21"/>
        </w:rPr>
        <w:t>1  范围</w:t>
      </w:r>
      <w:r>
        <w:rPr>
          <w:rFonts w:hint="eastAsia" w:ascii="宋体" w:hAnsi="宋体" w:eastAsia="宋体" w:cs="宋体"/>
          <w:b w:val="0"/>
          <w:bCs w:val="0"/>
          <w:sz w:val="21"/>
          <w:szCs w:val="21"/>
        </w:rPr>
        <w:tab/>
      </w: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PAGEREF _Toc19749 \h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1</w:t>
      </w:r>
      <w:r>
        <w:rPr>
          <w:rFonts w:hint="eastAsia" w:ascii="宋体" w:hAnsi="宋体" w:eastAsia="宋体" w:cs="宋体"/>
          <w:b w:val="0"/>
          <w:bCs w:val="0"/>
          <w:sz w:val="21"/>
          <w:szCs w:val="21"/>
        </w:rPr>
        <w:fldChar w:fldCharType="end"/>
      </w:r>
      <w:r>
        <w:rPr>
          <w:rFonts w:hint="eastAsia" w:ascii="宋体" w:hAnsi="宋体" w:eastAsia="宋体" w:cs="宋体"/>
          <w:b w:val="0"/>
          <w:bCs w:val="0"/>
          <w:sz w:val="21"/>
          <w:szCs w:val="21"/>
        </w:rPr>
        <w:fldChar w:fldCharType="end"/>
      </w:r>
    </w:p>
    <w:p>
      <w:pPr>
        <w:pStyle w:val="12"/>
        <w:tabs>
          <w:tab w:val="right" w:leader="dot" w:pos="8312"/>
        </w:tabs>
        <w:spacing w:before="0" w:after="0" w:line="360" w:lineRule="exact"/>
        <w:rPr>
          <w:rFonts w:ascii="宋体" w:hAnsi="宋体" w:eastAsia="宋体" w:cs="宋体"/>
          <w:b w:val="0"/>
          <w:bCs w:val="0"/>
          <w:sz w:val="21"/>
          <w:szCs w:val="21"/>
        </w:rPr>
      </w:pPr>
      <w:r>
        <w:fldChar w:fldCharType="begin"/>
      </w:r>
      <w:r>
        <w:instrText xml:space="preserve"> HYPERLINK \l "_Toc30123" </w:instrText>
      </w:r>
      <w:r>
        <w:fldChar w:fldCharType="separate"/>
      </w:r>
      <w:r>
        <w:rPr>
          <w:rFonts w:hint="eastAsia" w:ascii="宋体" w:hAnsi="宋体" w:eastAsia="宋体" w:cs="宋体"/>
          <w:b w:val="0"/>
          <w:bCs w:val="0"/>
          <w:sz w:val="21"/>
          <w:szCs w:val="21"/>
        </w:rPr>
        <w:t>2  规范性引用文件</w:t>
      </w:r>
      <w:r>
        <w:rPr>
          <w:rFonts w:hint="eastAsia" w:ascii="宋体" w:hAnsi="宋体" w:eastAsia="宋体" w:cs="宋体"/>
          <w:b w:val="0"/>
          <w:bCs w:val="0"/>
          <w:sz w:val="21"/>
          <w:szCs w:val="21"/>
        </w:rPr>
        <w:tab/>
      </w: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PAGEREF _Toc30123 \h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1</w:t>
      </w:r>
      <w:r>
        <w:rPr>
          <w:rFonts w:hint="eastAsia" w:ascii="宋体" w:hAnsi="宋体" w:eastAsia="宋体" w:cs="宋体"/>
          <w:b w:val="0"/>
          <w:bCs w:val="0"/>
          <w:sz w:val="21"/>
          <w:szCs w:val="21"/>
        </w:rPr>
        <w:fldChar w:fldCharType="end"/>
      </w:r>
      <w:r>
        <w:rPr>
          <w:rFonts w:hint="eastAsia" w:ascii="宋体" w:hAnsi="宋体" w:eastAsia="宋体" w:cs="宋体"/>
          <w:b w:val="0"/>
          <w:bCs w:val="0"/>
          <w:sz w:val="21"/>
          <w:szCs w:val="21"/>
        </w:rPr>
        <w:fldChar w:fldCharType="end"/>
      </w:r>
    </w:p>
    <w:p>
      <w:pPr>
        <w:pStyle w:val="12"/>
        <w:tabs>
          <w:tab w:val="right" w:leader="dot" w:pos="8312"/>
        </w:tabs>
        <w:spacing w:before="0" w:after="0" w:line="360" w:lineRule="exact"/>
        <w:rPr>
          <w:rFonts w:ascii="宋体" w:hAnsi="宋体" w:eastAsia="宋体" w:cs="宋体"/>
          <w:b w:val="0"/>
          <w:bCs w:val="0"/>
          <w:sz w:val="21"/>
          <w:szCs w:val="21"/>
        </w:rPr>
      </w:pPr>
      <w:r>
        <w:fldChar w:fldCharType="begin"/>
      </w:r>
      <w:r>
        <w:instrText xml:space="preserve"> HYPERLINK \l "_Toc7687" </w:instrText>
      </w:r>
      <w:r>
        <w:fldChar w:fldCharType="separate"/>
      </w:r>
      <w:r>
        <w:rPr>
          <w:rFonts w:hint="eastAsia" w:ascii="宋体" w:hAnsi="宋体" w:eastAsia="宋体" w:cs="宋体"/>
          <w:b w:val="0"/>
          <w:bCs w:val="0"/>
          <w:sz w:val="21"/>
          <w:szCs w:val="21"/>
        </w:rPr>
        <w:t>3  术语和定义</w:t>
      </w:r>
      <w:r>
        <w:rPr>
          <w:rFonts w:hint="eastAsia" w:ascii="宋体" w:hAnsi="宋体" w:eastAsia="宋体" w:cs="宋体"/>
          <w:b w:val="0"/>
          <w:bCs w:val="0"/>
          <w:sz w:val="21"/>
          <w:szCs w:val="21"/>
        </w:rPr>
        <w:tab/>
      </w: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PAGEREF _Toc7687 \h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1</w:t>
      </w:r>
      <w:r>
        <w:rPr>
          <w:rFonts w:hint="eastAsia" w:ascii="宋体" w:hAnsi="宋体" w:eastAsia="宋体" w:cs="宋体"/>
          <w:b w:val="0"/>
          <w:bCs w:val="0"/>
          <w:sz w:val="21"/>
          <w:szCs w:val="21"/>
        </w:rPr>
        <w:fldChar w:fldCharType="end"/>
      </w:r>
      <w:r>
        <w:rPr>
          <w:rFonts w:hint="eastAsia" w:ascii="宋体" w:hAnsi="宋体" w:eastAsia="宋体" w:cs="宋体"/>
          <w:b w:val="0"/>
          <w:bCs w:val="0"/>
          <w:sz w:val="21"/>
          <w:szCs w:val="21"/>
        </w:rPr>
        <w:fldChar w:fldCharType="end"/>
      </w:r>
    </w:p>
    <w:p>
      <w:pPr>
        <w:pStyle w:val="12"/>
        <w:tabs>
          <w:tab w:val="right" w:leader="dot" w:pos="8312"/>
        </w:tabs>
        <w:spacing w:before="0" w:after="0" w:line="360" w:lineRule="exact"/>
        <w:rPr>
          <w:rFonts w:ascii="宋体" w:hAnsi="宋体" w:eastAsia="宋体" w:cs="宋体"/>
          <w:b w:val="0"/>
          <w:bCs w:val="0"/>
          <w:sz w:val="21"/>
          <w:szCs w:val="21"/>
        </w:rPr>
      </w:pPr>
      <w:r>
        <w:fldChar w:fldCharType="begin"/>
      </w:r>
      <w:r>
        <w:instrText xml:space="preserve"> HYPERLINK \l "_Toc3097" </w:instrText>
      </w:r>
      <w:r>
        <w:fldChar w:fldCharType="separate"/>
      </w:r>
      <w:r>
        <w:rPr>
          <w:rFonts w:hint="eastAsia" w:ascii="宋体" w:hAnsi="宋体" w:eastAsia="宋体" w:cs="宋体"/>
          <w:b w:val="0"/>
          <w:bCs w:val="0"/>
          <w:sz w:val="21"/>
          <w:szCs w:val="21"/>
        </w:rPr>
        <w:t>4 基本要求</w:t>
      </w:r>
      <w:r>
        <w:rPr>
          <w:rFonts w:hint="eastAsia" w:ascii="宋体" w:hAnsi="宋体" w:eastAsia="宋体" w:cs="宋体"/>
          <w:b w:val="0"/>
          <w:bCs w:val="0"/>
          <w:sz w:val="21"/>
          <w:szCs w:val="21"/>
        </w:rPr>
        <w:tab/>
      </w: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PAGEREF _Toc3097 \h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2</w:t>
      </w:r>
      <w:r>
        <w:rPr>
          <w:rFonts w:hint="eastAsia" w:ascii="宋体" w:hAnsi="宋体" w:eastAsia="宋体" w:cs="宋体"/>
          <w:b w:val="0"/>
          <w:bCs w:val="0"/>
          <w:sz w:val="21"/>
          <w:szCs w:val="21"/>
        </w:rPr>
        <w:fldChar w:fldCharType="end"/>
      </w:r>
      <w:r>
        <w:rPr>
          <w:rFonts w:hint="eastAsia" w:ascii="宋体" w:hAnsi="宋体" w:eastAsia="宋体" w:cs="宋体"/>
          <w:b w:val="0"/>
          <w:bCs w:val="0"/>
          <w:sz w:val="21"/>
          <w:szCs w:val="21"/>
        </w:rPr>
        <w:fldChar w:fldCharType="end"/>
      </w:r>
    </w:p>
    <w:p>
      <w:pPr>
        <w:pStyle w:val="12"/>
        <w:tabs>
          <w:tab w:val="right" w:leader="dot" w:pos="8312"/>
        </w:tabs>
        <w:spacing w:before="0" w:after="0" w:line="360" w:lineRule="exact"/>
        <w:rPr>
          <w:rFonts w:ascii="宋体" w:hAnsi="宋体" w:eastAsia="宋体" w:cs="宋体"/>
          <w:b w:val="0"/>
          <w:bCs w:val="0"/>
          <w:sz w:val="21"/>
          <w:szCs w:val="21"/>
        </w:rPr>
      </w:pPr>
      <w:r>
        <w:fldChar w:fldCharType="begin"/>
      </w:r>
      <w:r>
        <w:instrText xml:space="preserve"> HYPERLINK \l "_Toc26021" </w:instrText>
      </w:r>
      <w:r>
        <w:fldChar w:fldCharType="separate"/>
      </w:r>
      <w:r>
        <w:rPr>
          <w:rFonts w:hint="eastAsia" w:ascii="宋体" w:hAnsi="宋体" w:eastAsia="宋体" w:cs="宋体"/>
          <w:b w:val="0"/>
          <w:bCs w:val="0"/>
          <w:sz w:val="21"/>
          <w:szCs w:val="21"/>
        </w:rPr>
        <w:t>5 样本采集前准备</w:t>
      </w:r>
      <w:r>
        <w:rPr>
          <w:rFonts w:hint="eastAsia" w:ascii="宋体" w:hAnsi="宋体" w:eastAsia="宋体" w:cs="宋体"/>
          <w:b w:val="0"/>
          <w:bCs w:val="0"/>
          <w:sz w:val="21"/>
          <w:szCs w:val="21"/>
        </w:rPr>
        <w:tab/>
      </w: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PAGEREF _Toc26021 \h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3</w:t>
      </w:r>
      <w:r>
        <w:rPr>
          <w:rFonts w:hint="eastAsia" w:ascii="宋体" w:hAnsi="宋体" w:eastAsia="宋体" w:cs="宋体"/>
          <w:b w:val="0"/>
          <w:bCs w:val="0"/>
          <w:sz w:val="21"/>
          <w:szCs w:val="21"/>
        </w:rPr>
        <w:fldChar w:fldCharType="end"/>
      </w:r>
      <w:r>
        <w:rPr>
          <w:rFonts w:hint="eastAsia" w:ascii="宋体" w:hAnsi="宋体" w:eastAsia="宋体" w:cs="宋体"/>
          <w:b w:val="0"/>
          <w:bCs w:val="0"/>
          <w:sz w:val="21"/>
          <w:szCs w:val="21"/>
        </w:rPr>
        <w:fldChar w:fldCharType="end"/>
      </w:r>
    </w:p>
    <w:p>
      <w:pPr>
        <w:pStyle w:val="12"/>
        <w:tabs>
          <w:tab w:val="right" w:leader="dot" w:pos="8312"/>
        </w:tabs>
        <w:spacing w:before="0" w:after="0" w:line="360" w:lineRule="exact"/>
        <w:rPr>
          <w:rFonts w:ascii="宋体" w:hAnsi="宋体" w:eastAsia="宋体" w:cs="宋体"/>
          <w:b w:val="0"/>
          <w:bCs w:val="0"/>
          <w:sz w:val="21"/>
          <w:szCs w:val="21"/>
        </w:rPr>
      </w:pPr>
      <w:r>
        <w:fldChar w:fldCharType="begin"/>
      </w:r>
      <w:r>
        <w:instrText xml:space="preserve"> HYPERLINK \l "_Toc8745" </w:instrText>
      </w:r>
      <w:r>
        <w:fldChar w:fldCharType="separate"/>
      </w:r>
      <w:r>
        <w:rPr>
          <w:rFonts w:hint="eastAsia" w:ascii="宋体" w:hAnsi="宋体" w:eastAsia="宋体" w:cs="宋体"/>
          <w:b w:val="0"/>
          <w:bCs w:val="0"/>
          <w:sz w:val="21"/>
          <w:szCs w:val="21"/>
        </w:rPr>
        <w:t>6 样本采集</w:t>
      </w:r>
      <w:r>
        <w:rPr>
          <w:rFonts w:hint="eastAsia" w:ascii="宋体" w:hAnsi="宋体" w:eastAsia="宋体" w:cs="宋体"/>
          <w:b w:val="0"/>
          <w:bCs w:val="0"/>
          <w:sz w:val="21"/>
          <w:szCs w:val="21"/>
        </w:rPr>
        <w:tab/>
      </w: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PAGEREF _Toc8745 \h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4</w:t>
      </w:r>
      <w:r>
        <w:rPr>
          <w:rFonts w:hint="eastAsia" w:ascii="宋体" w:hAnsi="宋体" w:eastAsia="宋体" w:cs="宋体"/>
          <w:b w:val="0"/>
          <w:bCs w:val="0"/>
          <w:sz w:val="21"/>
          <w:szCs w:val="21"/>
        </w:rPr>
        <w:fldChar w:fldCharType="end"/>
      </w:r>
      <w:r>
        <w:rPr>
          <w:rFonts w:hint="eastAsia" w:ascii="宋体" w:hAnsi="宋体" w:eastAsia="宋体" w:cs="宋体"/>
          <w:b w:val="0"/>
          <w:bCs w:val="0"/>
          <w:sz w:val="21"/>
          <w:szCs w:val="21"/>
        </w:rPr>
        <w:fldChar w:fldCharType="end"/>
      </w:r>
    </w:p>
    <w:p>
      <w:pPr>
        <w:pStyle w:val="12"/>
        <w:tabs>
          <w:tab w:val="right" w:leader="dot" w:pos="8312"/>
        </w:tabs>
        <w:spacing w:before="0" w:after="0" w:line="360" w:lineRule="exact"/>
        <w:rPr>
          <w:rFonts w:ascii="宋体" w:hAnsi="宋体" w:eastAsia="宋体" w:cs="宋体"/>
          <w:b w:val="0"/>
          <w:bCs w:val="0"/>
          <w:sz w:val="21"/>
          <w:szCs w:val="21"/>
        </w:rPr>
      </w:pPr>
      <w:r>
        <w:fldChar w:fldCharType="begin"/>
      </w:r>
      <w:r>
        <w:instrText xml:space="preserve"> HYPERLINK \l "_Toc13268" </w:instrText>
      </w:r>
      <w:r>
        <w:fldChar w:fldCharType="separate"/>
      </w:r>
      <w:r>
        <w:rPr>
          <w:rFonts w:hint="eastAsia" w:ascii="宋体" w:hAnsi="宋体" w:eastAsia="宋体" w:cs="宋体"/>
          <w:b w:val="0"/>
          <w:bCs w:val="0"/>
          <w:sz w:val="21"/>
          <w:szCs w:val="21"/>
        </w:rPr>
        <w:t>7 血样处理与离心</w:t>
      </w:r>
      <w:r>
        <w:rPr>
          <w:rFonts w:hint="eastAsia" w:ascii="宋体" w:hAnsi="宋体" w:eastAsia="宋体" w:cs="宋体"/>
          <w:b w:val="0"/>
          <w:bCs w:val="0"/>
          <w:sz w:val="21"/>
          <w:szCs w:val="21"/>
        </w:rPr>
        <w:tab/>
      </w: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PAGEREF _Toc13268 \h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4</w:t>
      </w:r>
      <w:r>
        <w:rPr>
          <w:rFonts w:hint="eastAsia" w:ascii="宋体" w:hAnsi="宋体" w:eastAsia="宋体" w:cs="宋体"/>
          <w:b w:val="0"/>
          <w:bCs w:val="0"/>
          <w:sz w:val="21"/>
          <w:szCs w:val="21"/>
        </w:rPr>
        <w:fldChar w:fldCharType="end"/>
      </w:r>
      <w:r>
        <w:rPr>
          <w:rFonts w:hint="eastAsia" w:ascii="宋体" w:hAnsi="宋体" w:eastAsia="宋体" w:cs="宋体"/>
          <w:b w:val="0"/>
          <w:bCs w:val="0"/>
          <w:sz w:val="21"/>
          <w:szCs w:val="21"/>
        </w:rPr>
        <w:fldChar w:fldCharType="end"/>
      </w:r>
    </w:p>
    <w:p>
      <w:pPr>
        <w:pStyle w:val="12"/>
        <w:tabs>
          <w:tab w:val="right" w:leader="dot" w:pos="8312"/>
        </w:tabs>
        <w:spacing w:before="0" w:after="0" w:line="360" w:lineRule="exact"/>
        <w:rPr>
          <w:rFonts w:ascii="宋体" w:hAnsi="宋体" w:eastAsia="宋体" w:cs="宋体"/>
          <w:b w:val="0"/>
          <w:bCs w:val="0"/>
          <w:sz w:val="21"/>
          <w:szCs w:val="21"/>
        </w:rPr>
      </w:pPr>
      <w:r>
        <w:fldChar w:fldCharType="begin"/>
      </w:r>
      <w:r>
        <w:instrText xml:space="preserve"> HYPERLINK \l "_Toc291" </w:instrText>
      </w:r>
      <w:r>
        <w:fldChar w:fldCharType="separate"/>
      </w:r>
      <w:r>
        <w:rPr>
          <w:rFonts w:hint="eastAsia" w:ascii="宋体" w:hAnsi="宋体" w:eastAsia="宋体" w:cs="宋体"/>
          <w:b w:val="0"/>
          <w:bCs w:val="0"/>
          <w:sz w:val="21"/>
          <w:szCs w:val="21"/>
        </w:rPr>
        <w:t>8 血浆分离与分装</w:t>
      </w:r>
      <w:r>
        <w:rPr>
          <w:rFonts w:hint="eastAsia" w:ascii="宋体" w:hAnsi="宋体" w:eastAsia="宋体" w:cs="宋体"/>
          <w:b w:val="0"/>
          <w:bCs w:val="0"/>
          <w:sz w:val="21"/>
          <w:szCs w:val="21"/>
        </w:rPr>
        <w:tab/>
      </w: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PAGEREF _Toc291 \h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5</w:t>
      </w:r>
      <w:r>
        <w:rPr>
          <w:rFonts w:hint="eastAsia" w:ascii="宋体" w:hAnsi="宋体" w:eastAsia="宋体" w:cs="宋体"/>
          <w:b w:val="0"/>
          <w:bCs w:val="0"/>
          <w:sz w:val="21"/>
          <w:szCs w:val="21"/>
        </w:rPr>
        <w:fldChar w:fldCharType="end"/>
      </w:r>
      <w:r>
        <w:rPr>
          <w:rFonts w:hint="eastAsia" w:ascii="宋体" w:hAnsi="宋体" w:eastAsia="宋体" w:cs="宋体"/>
          <w:b w:val="0"/>
          <w:bCs w:val="0"/>
          <w:sz w:val="21"/>
          <w:szCs w:val="21"/>
        </w:rPr>
        <w:fldChar w:fldCharType="end"/>
      </w:r>
    </w:p>
    <w:p>
      <w:pPr>
        <w:pStyle w:val="12"/>
        <w:tabs>
          <w:tab w:val="right" w:leader="dot" w:pos="8312"/>
        </w:tabs>
        <w:spacing w:before="0" w:after="0" w:line="360" w:lineRule="exact"/>
        <w:rPr>
          <w:rFonts w:ascii="宋体" w:hAnsi="宋体" w:eastAsia="宋体" w:cs="宋体"/>
          <w:b w:val="0"/>
          <w:bCs w:val="0"/>
          <w:sz w:val="21"/>
          <w:szCs w:val="21"/>
        </w:rPr>
      </w:pPr>
      <w:r>
        <w:fldChar w:fldCharType="begin"/>
      </w:r>
      <w:r>
        <w:instrText xml:space="preserve"> HYPERLINK \l "_Toc19059" </w:instrText>
      </w:r>
      <w:r>
        <w:fldChar w:fldCharType="separate"/>
      </w:r>
      <w:r>
        <w:rPr>
          <w:rFonts w:hint="eastAsia" w:ascii="宋体" w:hAnsi="宋体" w:eastAsia="宋体" w:cs="宋体"/>
          <w:b w:val="0"/>
          <w:bCs w:val="0"/>
          <w:sz w:val="21"/>
          <w:szCs w:val="21"/>
        </w:rPr>
        <w:t>9 短期保存与运输</w:t>
      </w:r>
      <w:r>
        <w:rPr>
          <w:rFonts w:hint="eastAsia" w:ascii="宋体" w:hAnsi="宋体" w:eastAsia="宋体" w:cs="宋体"/>
          <w:b w:val="0"/>
          <w:bCs w:val="0"/>
          <w:sz w:val="21"/>
          <w:szCs w:val="21"/>
        </w:rPr>
        <w:tab/>
      </w: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PAGEREF _Toc19059 \h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5</w:t>
      </w:r>
      <w:r>
        <w:rPr>
          <w:rFonts w:hint="eastAsia" w:ascii="宋体" w:hAnsi="宋体" w:eastAsia="宋体" w:cs="宋体"/>
          <w:b w:val="0"/>
          <w:bCs w:val="0"/>
          <w:sz w:val="21"/>
          <w:szCs w:val="21"/>
        </w:rPr>
        <w:fldChar w:fldCharType="end"/>
      </w:r>
      <w:r>
        <w:rPr>
          <w:rFonts w:hint="eastAsia" w:ascii="宋体" w:hAnsi="宋体" w:eastAsia="宋体" w:cs="宋体"/>
          <w:b w:val="0"/>
          <w:bCs w:val="0"/>
          <w:sz w:val="21"/>
          <w:szCs w:val="21"/>
        </w:rPr>
        <w:fldChar w:fldCharType="end"/>
      </w:r>
    </w:p>
    <w:p>
      <w:pPr>
        <w:pStyle w:val="12"/>
        <w:tabs>
          <w:tab w:val="right" w:leader="dot" w:pos="8312"/>
        </w:tabs>
        <w:spacing w:before="0" w:after="0" w:line="360" w:lineRule="exact"/>
        <w:rPr>
          <w:rFonts w:ascii="宋体" w:hAnsi="宋体" w:eastAsia="宋体" w:cs="宋体"/>
          <w:b w:val="0"/>
          <w:bCs w:val="0"/>
          <w:sz w:val="21"/>
          <w:szCs w:val="21"/>
        </w:rPr>
      </w:pPr>
      <w:r>
        <w:fldChar w:fldCharType="begin"/>
      </w:r>
      <w:r>
        <w:instrText xml:space="preserve"> HYPERLINK \l "_Toc29238" </w:instrText>
      </w:r>
      <w:r>
        <w:fldChar w:fldCharType="separate"/>
      </w:r>
      <w:r>
        <w:rPr>
          <w:rFonts w:hint="eastAsia" w:ascii="宋体" w:hAnsi="宋体" w:eastAsia="宋体" w:cs="宋体"/>
          <w:b w:val="0"/>
          <w:bCs w:val="0"/>
          <w:sz w:val="21"/>
          <w:szCs w:val="21"/>
        </w:rPr>
        <w:t>10 实验室接收与长期冻存</w:t>
      </w:r>
      <w:r>
        <w:rPr>
          <w:rFonts w:hint="eastAsia" w:ascii="宋体" w:hAnsi="宋体" w:eastAsia="宋体" w:cs="宋体"/>
          <w:b w:val="0"/>
          <w:bCs w:val="0"/>
          <w:sz w:val="21"/>
          <w:szCs w:val="21"/>
        </w:rPr>
        <w:tab/>
      </w: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PAGEREF _Toc29238 \h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6</w:t>
      </w:r>
      <w:r>
        <w:rPr>
          <w:rFonts w:hint="eastAsia" w:ascii="宋体" w:hAnsi="宋体" w:eastAsia="宋体" w:cs="宋体"/>
          <w:b w:val="0"/>
          <w:bCs w:val="0"/>
          <w:sz w:val="21"/>
          <w:szCs w:val="21"/>
        </w:rPr>
        <w:fldChar w:fldCharType="end"/>
      </w:r>
      <w:r>
        <w:rPr>
          <w:rFonts w:hint="eastAsia" w:ascii="宋体" w:hAnsi="宋体" w:eastAsia="宋体" w:cs="宋体"/>
          <w:b w:val="0"/>
          <w:bCs w:val="0"/>
          <w:sz w:val="21"/>
          <w:szCs w:val="21"/>
        </w:rPr>
        <w:fldChar w:fldCharType="end"/>
      </w:r>
    </w:p>
    <w:p>
      <w:pPr>
        <w:pStyle w:val="12"/>
        <w:tabs>
          <w:tab w:val="right" w:leader="dot" w:pos="8312"/>
        </w:tabs>
        <w:spacing w:before="0" w:after="0" w:line="360" w:lineRule="exact"/>
        <w:rPr>
          <w:rFonts w:ascii="宋体" w:hAnsi="宋体" w:eastAsia="宋体" w:cs="宋体"/>
          <w:b w:val="0"/>
          <w:bCs w:val="0"/>
          <w:sz w:val="21"/>
          <w:szCs w:val="21"/>
        </w:rPr>
      </w:pPr>
      <w:r>
        <w:fldChar w:fldCharType="begin"/>
      </w:r>
      <w:r>
        <w:instrText xml:space="preserve"> HYPERLINK \l "_Toc27014" </w:instrText>
      </w:r>
      <w:r>
        <w:fldChar w:fldCharType="separate"/>
      </w:r>
      <w:r>
        <w:rPr>
          <w:rFonts w:hint="eastAsia" w:ascii="宋体" w:hAnsi="宋体" w:eastAsia="宋体" w:cs="宋体"/>
          <w:b w:val="0"/>
          <w:bCs w:val="0"/>
          <w:sz w:val="21"/>
          <w:szCs w:val="21"/>
        </w:rPr>
        <w:t>11 冻融控制</w:t>
      </w:r>
      <w:r>
        <w:rPr>
          <w:rFonts w:hint="eastAsia" w:ascii="宋体" w:hAnsi="宋体" w:eastAsia="宋体" w:cs="宋体"/>
          <w:b w:val="0"/>
          <w:bCs w:val="0"/>
          <w:sz w:val="21"/>
          <w:szCs w:val="21"/>
        </w:rPr>
        <w:tab/>
      </w: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PAGEREF _Toc27014 \h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6</w:t>
      </w:r>
      <w:r>
        <w:rPr>
          <w:rFonts w:hint="eastAsia" w:ascii="宋体" w:hAnsi="宋体" w:eastAsia="宋体" w:cs="宋体"/>
          <w:b w:val="0"/>
          <w:bCs w:val="0"/>
          <w:sz w:val="21"/>
          <w:szCs w:val="21"/>
        </w:rPr>
        <w:fldChar w:fldCharType="end"/>
      </w:r>
      <w:r>
        <w:rPr>
          <w:rFonts w:hint="eastAsia" w:ascii="宋体" w:hAnsi="宋体" w:eastAsia="宋体" w:cs="宋体"/>
          <w:b w:val="0"/>
          <w:bCs w:val="0"/>
          <w:sz w:val="21"/>
          <w:szCs w:val="21"/>
        </w:rPr>
        <w:fldChar w:fldCharType="end"/>
      </w:r>
    </w:p>
    <w:p>
      <w:pPr>
        <w:pStyle w:val="12"/>
        <w:tabs>
          <w:tab w:val="right" w:leader="dot" w:pos="8312"/>
        </w:tabs>
        <w:spacing w:before="0" w:after="0" w:line="360" w:lineRule="exact"/>
        <w:rPr>
          <w:rFonts w:ascii="宋体" w:hAnsi="宋体" w:eastAsia="宋体" w:cs="宋体"/>
          <w:b w:val="0"/>
          <w:bCs w:val="0"/>
          <w:sz w:val="21"/>
          <w:szCs w:val="21"/>
        </w:rPr>
      </w:pPr>
      <w:r>
        <w:fldChar w:fldCharType="begin"/>
      </w:r>
      <w:r>
        <w:instrText xml:space="preserve"> HYPERLINK \l "_Toc2748" </w:instrText>
      </w:r>
      <w:r>
        <w:fldChar w:fldCharType="separate"/>
      </w:r>
      <w:r>
        <w:rPr>
          <w:rFonts w:hint="eastAsia" w:ascii="宋体" w:hAnsi="宋体" w:eastAsia="宋体" w:cs="宋体"/>
          <w:b w:val="0"/>
          <w:bCs w:val="0"/>
          <w:sz w:val="21"/>
          <w:szCs w:val="21"/>
        </w:rPr>
        <w:t>12 样本质量控制与偏差管理</w:t>
      </w:r>
      <w:r>
        <w:rPr>
          <w:rFonts w:hint="eastAsia" w:ascii="宋体" w:hAnsi="宋体" w:eastAsia="宋体" w:cs="宋体"/>
          <w:b w:val="0"/>
          <w:bCs w:val="0"/>
          <w:sz w:val="21"/>
          <w:szCs w:val="21"/>
        </w:rPr>
        <w:tab/>
      </w: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PAGEREF _Toc2748 \h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6</w:t>
      </w:r>
      <w:r>
        <w:rPr>
          <w:rFonts w:hint="eastAsia" w:ascii="宋体" w:hAnsi="宋体" w:eastAsia="宋体" w:cs="宋体"/>
          <w:b w:val="0"/>
          <w:bCs w:val="0"/>
          <w:sz w:val="21"/>
          <w:szCs w:val="21"/>
        </w:rPr>
        <w:fldChar w:fldCharType="end"/>
      </w:r>
      <w:r>
        <w:rPr>
          <w:rFonts w:hint="eastAsia" w:ascii="宋体" w:hAnsi="宋体" w:eastAsia="宋体" w:cs="宋体"/>
          <w:b w:val="0"/>
          <w:bCs w:val="0"/>
          <w:sz w:val="21"/>
          <w:szCs w:val="21"/>
        </w:rPr>
        <w:fldChar w:fldCharType="end"/>
      </w:r>
    </w:p>
    <w:p>
      <w:pPr>
        <w:pStyle w:val="12"/>
        <w:tabs>
          <w:tab w:val="right" w:leader="dot" w:pos="8312"/>
        </w:tabs>
        <w:spacing w:before="0" w:after="0" w:line="360" w:lineRule="exact"/>
        <w:rPr>
          <w:rFonts w:ascii="宋体" w:hAnsi="宋体" w:eastAsia="宋体" w:cs="宋体"/>
          <w:b w:val="0"/>
          <w:bCs w:val="0"/>
          <w:sz w:val="21"/>
          <w:szCs w:val="21"/>
        </w:rPr>
      </w:pPr>
      <w:r>
        <w:fldChar w:fldCharType="begin"/>
      </w:r>
      <w:r>
        <w:instrText xml:space="preserve"> HYPERLINK \l "_Toc22738" </w:instrText>
      </w:r>
      <w:r>
        <w:fldChar w:fldCharType="separate"/>
      </w:r>
      <w:r>
        <w:rPr>
          <w:rFonts w:hint="eastAsia" w:ascii="宋体" w:hAnsi="宋体" w:eastAsia="宋体" w:cs="宋体"/>
          <w:b w:val="0"/>
          <w:bCs w:val="0"/>
          <w:sz w:val="21"/>
          <w:szCs w:val="21"/>
        </w:rPr>
        <w:t>13 信息记录与追溯管理</w:t>
      </w:r>
      <w:r>
        <w:rPr>
          <w:rFonts w:hint="eastAsia" w:ascii="宋体" w:hAnsi="宋体" w:eastAsia="宋体" w:cs="宋体"/>
          <w:b w:val="0"/>
          <w:bCs w:val="0"/>
          <w:sz w:val="21"/>
          <w:szCs w:val="21"/>
        </w:rPr>
        <w:tab/>
      </w: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PAGEREF _Toc22738 \h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7</w:t>
      </w:r>
      <w:r>
        <w:rPr>
          <w:rFonts w:hint="eastAsia" w:ascii="宋体" w:hAnsi="宋体" w:eastAsia="宋体" w:cs="宋体"/>
          <w:b w:val="0"/>
          <w:bCs w:val="0"/>
          <w:sz w:val="21"/>
          <w:szCs w:val="21"/>
        </w:rPr>
        <w:fldChar w:fldCharType="end"/>
      </w:r>
      <w:r>
        <w:rPr>
          <w:rFonts w:hint="eastAsia" w:ascii="宋体" w:hAnsi="宋体" w:eastAsia="宋体" w:cs="宋体"/>
          <w:b w:val="0"/>
          <w:bCs w:val="0"/>
          <w:sz w:val="21"/>
          <w:szCs w:val="21"/>
        </w:rPr>
        <w:fldChar w:fldCharType="end"/>
      </w:r>
    </w:p>
    <w:p>
      <w:pPr>
        <w:pStyle w:val="12"/>
        <w:tabs>
          <w:tab w:val="right" w:leader="dot" w:pos="8312"/>
        </w:tabs>
        <w:spacing w:before="0" w:after="0" w:line="360" w:lineRule="exact"/>
        <w:rPr>
          <w:rFonts w:ascii="宋体" w:hAnsi="宋体" w:eastAsia="宋体" w:cs="宋体"/>
          <w:b w:val="0"/>
          <w:bCs w:val="0"/>
          <w:sz w:val="21"/>
          <w:szCs w:val="21"/>
        </w:rPr>
      </w:pPr>
      <w:r>
        <w:fldChar w:fldCharType="begin"/>
      </w:r>
      <w:r>
        <w:instrText xml:space="preserve"> HYPERLINK \l "_Toc17369" </w:instrText>
      </w:r>
      <w:r>
        <w:fldChar w:fldCharType="separate"/>
      </w:r>
      <w:r>
        <w:rPr>
          <w:rFonts w:hint="eastAsia" w:ascii="宋体" w:hAnsi="宋体" w:eastAsia="宋体" w:cs="宋体"/>
          <w:b w:val="0"/>
          <w:bCs w:val="0"/>
          <w:sz w:val="21"/>
          <w:szCs w:val="21"/>
        </w:rPr>
        <w:t>14 样本检测前管理</w:t>
      </w:r>
      <w:r>
        <w:rPr>
          <w:rFonts w:hint="eastAsia" w:ascii="宋体" w:hAnsi="宋体" w:eastAsia="宋体" w:cs="宋体"/>
          <w:b w:val="0"/>
          <w:bCs w:val="0"/>
          <w:sz w:val="21"/>
          <w:szCs w:val="21"/>
        </w:rPr>
        <w:tab/>
      </w: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PAGEREF _Toc17369 \h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8</w:t>
      </w:r>
      <w:r>
        <w:rPr>
          <w:rFonts w:hint="eastAsia" w:ascii="宋体" w:hAnsi="宋体" w:eastAsia="宋体" w:cs="宋体"/>
          <w:b w:val="0"/>
          <w:bCs w:val="0"/>
          <w:sz w:val="21"/>
          <w:szCs w:val="21"/>
        </w:rPr>
        <w:fldChar w:fldCharType="end"/>
      </w:r>
      <w:r>
        <w:rPr>
          <w:rFonts w:hint="eastAsia" w:ascii="宋体" w:hAnsi="宋体" w:eastAsia="宋体" w:cs="宋体"/>
          <w:b w:val="0"/>
          <w:bCs w:val="0"/>
          <w:sz w:val="21"/>
          <w:szCs w:val="21"/>
        </w:rPr>
        <w:fldChar w:fldCharType="end"/>
      </w:r>
    </w:p>
    <w:p>
      <w:pPr>
        <w:pStyle w:val="12"/>
        <w:tabs>
          <w:tab w:val="right" w:leader="dot" w:pos="8312"/>
        </w:tabs>
        <w:spacing w:before="0" w:after="0" w:line="360" w:lineRule="exact"/>
        <w:rPr>
          <w:rFonts w:ascii="宋体" w:hAnsi="宋体" w:eastAsia="宋体" w:cs="宋体"/>
          <w:b w:val="0"/>
          <w:bCs w:val="0"/>
          <w:sz w:val="21"/>
          <w:szCs w:val="21"/>
        </w:rPr>
      </w:pPr>
      <w:r>
        <w:fldChar w:fldCharType="begin"/>
      </w:r>
      <w:r>
        <w:instrText xml:space="preserve"> HYPERLINK \l "_Toc924" </w:instrText>
      </w:r>
      <w:r>
        <w:fldChar w:fldCharType="separate"/>
      </w:r>
      <w:r>
        <w:rPr>
          <w:rFonts w:hint="eastAsia" w:ascii="宋体" w:hAnsi="宋体" w:eastAsia="宋体" w:cs="宋体"/>
          <w:b w:val="0"/>
          <w:bCs w:val="0"/>
          <w:sz w:val="21"/>
          <w:szCs w:val="21"/>
        </w:rPr>
        <w:t>15 安全与生物防护要求</w:t>
      </w:r>
      <w:r>
        <w:rPr>
          <w:rFonts w:hint="eastAsia" w:ascii="宋体" w:hAnsi="宋体" w:eastAsia="宋体" w:cs="宋体"/>
          <w:b w:val="0"/>
          <w:bCs w:val="0"/>
          <w:sz w:val="21"/>
          <w:szCs w:val="21"/>
        </w:rPr>
        <w:tab/>
      </w: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PAGEREF _Toc924 \h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8</w:t>
      </w:r>
      <w:r>
        <w:rPr>
          <w:rFonts w:hint="eastAsia" w:ascii="宋体" w:hAnsi="宋体" w:eastAsia="宋体" w:cs="宋体"/>
          <w:b w:val="0"/>
          <w:bCs w:val="0"/>
          <w:sz w:val="21"/>
          <w:szCs w:val="21"/>
        </w:rPr>
        <w:fldChar w:fldCharType="end"/>
      </w:r>
      <w:r>
        <w:rPr>
          <w:rFonts w:hint="eastAsia" w:ascii="宋体" w:hAnsi="宋体" w:eastAsia="宋体" w:cs="宋体"/>
          <w:b w:val="0"/>
          <w:bCs w:val="0"/>
          <w:sz w:val="21"/>
          <w:szCs w:val="21"/>
        </w:rPr>
        <w:fldChar w:fldCharType="end"/>
      </w:r>
    </w:p>
    <w:p>
      <w:pPr>
        <w:pStyle w:val="12"/>
        <w:tabs>
          <w:tab w:val="right" w:leader="dot" w:pos="8312"/>
        </w:tabs>
        <w:spacing w:before="0" w:after="0" w:line="360" w:lineRule="exact"/>
        <w:rPr>
          <w:rFonts w:ascii="宋体" w:hAnsi="宋体" w:eastAsia="宋体" w:cs="宋体"/>
          <w:b w:val="0"/>
          <w:bCs w:val="0"/>
          <w:sz w:val="21"/>
          <w:szCs w:val="21"/>
        </w:rPr>
      </w:pPr>
      <w:r>
        <w:fldChar w:fldCharType="begin"/>
      </w:r>
      <w:r>
        <w:instrText xml:space="preserve"> HYPERLINK \l "_Toc32702" </w:instrText>
      </w:r>
      <w:r>
        <w:fldChar w:fldCharType="separate"/>
      </w:r>
      <w:r>
        <w:rPr>
          <w:rFonts w:hint="eastAsia" w:ascii="宋体" w:hAnsi="宋体" w:eastAsia="宋体" w:cs="宋体"/>
          <w:b w:val="0"/>
          <w:bCs w:val="0"/>
          <w:sz w:val="21"/>
          <w:szCs w:val="21"/>
        </w:rPr>
        <w:t>附录A（规范性）溶血程度分级及处理要求表</w:t>
      </w:r>
      <w:r>
        <w:rPr>
          <w:rFonts w:hint="eastAsia" w:ascii="宋体" w:hAnsi="宋体" w:eastAsia="宋体" w:cs="宋体"/>
          <w:b w:val="0"/>
          <w:bCs w:val="0"/>
          <w:sz w:val="21"/>
          <w:szCs w:val="21"/>
        </w:rPr>
        <w:tab/>
      </w: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PAGEREF _Toc32702 \h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9</w:t>
      </w:r>
      <w:r>
        <w:rPr>
          <w:rFonts w:hint="eastAsia" w:ascii="宋体" w:hAnsi="宋体" w:eastAsia="宋体" w:cs="宋体"/>
          <w:b w:val="0"/>
          <w:bCs w:val="0"/>
          <w:sz w:val="21"/>
          <w:szCs w:val="21"/>
        </w:rPr>
        <w:fldChar w:fldCharType="end"/>
      </w:r>
      <w:r>
        <w:rPr>
          <w:rFonts w:hint="eastAsia" w:ascii="宋体" w:hAnsi="宋体" w:eastAsia="宋体" w:cs="宋体"/>
          <w:b w:val="0"/>
          <w:bCs w:val="0"/>
          <w:sz w:val="21"/>
          <w:szCs w:val="21"/>
        </w:rPr>
        <w:fldChar w:fldCharType="end"/>
      </w:r>
    </w:p>
    <w:p>
      <w:pPr>
        <w:pStyle w:val="12"/>
        <w:tabs>
          <w:tab w:val="right" w:leader="dot" w:pos="8312"/>
        </w:tabs>
        <w:spacing w:before="0" w:after="0" w:line="360" w:lineRule="exact"/>
        <w:rPr>
          <w:rFonts w:ascii="宋体" w:hAnsi="宋体" w:eastAsia="宋体" w:cs="宋体"/>
          <w:b w:val="0"/>
          <w:bCs w:val="0"/>
          <w:sz w:val="21"/>
          <w:szCs w:val="21"/>
        </w:rPr>
      </w:pPr>
      <w:r>
        <w:fldChar w:fldCharType="begin"/>
      </w:r>
      <w:r>
        <w:instrText xml:space="preserve"> HYPERLINK \l "_Toc24390" </w:instrText>
      </w:r>
      <w:r>
        <w:fldChar w:fldCharType="separate"/>
      </w:r>
      <w:r>
        <w:rPr>
          <w:rFonts w:hint="eastAsia" w:ascii="宋体" w:hAnsi="宋体" w:eastAsia="宋体" w:cs="宋体"/>
          <w:b w:val="0"/>
          <w:bCs w:val="0"/>
          <w:sz w:val="21"/>
          <w:szCs w:val="21"/>
        </w:rPr>
        <w:t>参考文献</w:t>
      </w:r>
      <w:r>
        <w:rPr>
          <w:rFonts w:hint="eastAsia" w:ascii="宋体" w:hAnsi="宋体" w:eastAsia="宋体" w:cs="宋体"/>
          <w:b w:val="0"/>
          <w:bCs w:val="0"/>
          <w:sz w:val="21"/>
          <w:szCs w:val="21"/>
        </w:rPr>
        <w:tab/>
      </w: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PAGEREF _Toc24390 \h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10</w:t>
      </w:r>
      <w:r>
        <w:rPr>
          <w:rFonts w:hint="eastAsia" w:ascii="宋体" w:hAnsi="宋体" w:eastAsia="宋体" w:cs="宋体"/>
          <w:b w:val="0"/>
          <w:bCs w:val="0"/>
          <w:sz w:val="21"/>
          <w:szCs w:val="21"/>
        </w:rPr>
        <w:fldChar w:fldCharType="end"/>
      </w:r>
      <w:r>
        <w:rPr>
          <w:rFonts w:hint="eastAsia" w:ascii="宋体" w:hAnsi="宋体" w:eastAsia="宋体" w:cs="宋体"/>
          <w:b w:val="0"/>
          <w:bCs w:val="0"/>
          <w:sz w:val="21"/>
          <w:szCs w:val="21"/>
        </w:rPr>
        <w:fldChar w:fldCharType="end"/>
      </w:r>
    </w:p>
    <w:p>
      <w:pPr>
        <w:spacing w:line="360" w:lineRule="exact"/>
        <w:rPr>
          <w:rFonts w:ascii="宋体" w:hAnsi="宋体" w:eastAsia="宋体" w:cs="宋体"/>
          <w:szCs w:val="21"/>
        </w:rPr>
      </w:pPr>
      <w:r>
        <w:rPr>
          <w:rFonts w:hint="eastAsia" w:ascii="宋体" w:hAnsi="宋体" w:eastAsia="宋体" w:cs="宋体"/>
          <w:szCs w:val="21"/>
        </w:rPr>
        <w:fldChar w:fldCharType="end"/>
      </w:r>
      <w:r>
        <w:rPr>
          <w:rFonts w:hint="eastAsia" w:ascii="宋体" w:hAnsi="宋体" w:eastAsia="宋体" w:cs="宋体"/>
          <w:szCs w:val="21"/>
        </w:rPr>
        <w:br w:type="page"/>
      </w:r>
    </w:p>
    <w:p>
      <w:pPr>
        <w:pStyle w:val="24"/>
        <w:spacing w:line="360" w:lineRule="exact"/>
        <w:ind w:firstLine="0" w:firstLineChars="0"/>
        <w:outlineLvl w:val="0"/>
        <w:rPr>
          <w:rFonts w:ascii="黑体" w:eastAsia="黑体"/>
          <w:b/>
          <w:bCs/>
          <w:sz w:val="32"/>
        </w:rPr>
      </w:pPr>
      <w:bookmarkStart w:id="3" w:name="_Toc11634"/>
    </w:p>
    <w:p>
      <w:pPr>
        <w:pStyle w:val="24"/>
        <w:spacing w:line="360" w:lineRule="exact"/>
        <w:ind w:firstLine="653"/>
        <w:jc w:val="center"/>
        <w:rPr>
          <w:rFonts w:ascii="Times New Roman"/>
        </w:rPr>
      </w:pPr>
      <w:r>
        <w:rPr>
          <w:rFonts w:hint="eastAsia" w:ascii="黑体" w:eastAsia="黑体"/>
          <w:b/>
          <w:bCs/>
          <w:sz w:val="32"/>
        </w:rPr>
        <w:t>前  言</w:t>
      </w:r>
    </w:p>
    <w:bookmarkEnd w:id="3"/>
    <w:p>
      <w:pPr>
        <w:pStyle w:val="24"/>
        <w:spacing w:line="360" w:lineRule="exact"/>
        <w:ind w:firstLine="420"/>
        <w:rPr>
          <w:rFonts w:ascii="Times New Roman"/>
        </w:rPr>
      </w:pPr>
    </w:p>
    <w:p>
      <w:pPr>
        <w:pStyle w:val="24"/>
        <w:spacing w:line="360" w:lineRule="exact"/>
        <w:ind w:firstLine="420"/>
        <w:rPr>
          <w:rFonts w:ascii="Times New Roman"/>
        </w:rPr>
      </w:pPr>
    </w:p>
    <w:p>
      <w:pPr>
        <w:pStyle w:val="24"/>
        <w:spacing w:line="360" w:lineRule="exact"/>
        <w:ind w:firstLine="420"/>
        <w:rPr>
          <w:rFonts w:ascii="Times New Roman"/>
        </w:rPr>
      </w:pPr>
      <w:r>
        <w:rPr>
          <w:rFonts w:hint="eastAsia" w:ascii="Times New Roman"/>
        </w:rPr>
        <w:t>本文件按照GB/T 1.1—2020《标准化工作导则　第1部分：标准化文件的结构和起草规则》的规定起草。</w:t>
      </w:r>
    </w:p>
    <w:p>
      <w:pPr>
        <w:pStyle w:val="24"/>
        <w:spacing w:line="360" w:lineRule="exact"/>
        <w:ind w:firstLine="420"/>
        <w:rPr>
          <w:rFonts w:ascii="Times New Roman"/>
        </w:rPr>
      </w:pPr>
      <w:r>
        <w:rPr>
          <w:rFonts w:hint="eastAsia" w:ascii="Times New Roman"/>
        </w:rPr>
        <w:t>请注意本文件的某些内容可能涉及专利。本文件的发布机构不承担识别专利的责任。</w:t>
      </w:r>
    </w:p>
    <w:p>
      <w:pPr>
        <w:pStyle w:val="24"/>
        <w:spacing w:line="360" w:lineRule="exact"/>
        <w:ind w:firstLine="420"/>
        <w:rPr>
          <w:rFonts w:ascii="Times New Roman"/>
        </w:rPr>
      </w:pPr>
      <w:r>
        <w:rPr>
          <w:rFonts w:hint="eastAsia" w:ascii="Times New Roman"/>
        </w:rPr>
        <w:t>本文件由首都医科大学宣武医院提出。</w:t>
      </w:r>
    </w:p>
    <w:p>
      <w:pPr>
        <w:pStyle w:val="24"/>
        <w:spacing w:line="360" w:lineRule="exact"/>
        <w:ind w:firstLine="420"/>
        <w:rPr>
          <w:rFonts w:ascii="Times New Roman"/>
        </w:rPr>
      </w:pPr>
      <w:r>
        <w:rPr>
          <w:rFonts w:hint="eastAsia" w:ascii="Times New Roman"/>
        </w:rPr>
        <w:t>本文件由北京慢性病防治与健康教育研究会归口。</w:t>
      </w:r>
    </w:p>
    <w:p>
      <w:pPr>
        <w:pStyle w:val="24"/>
        <w:spacing w:line="360" w:lineRule="exact"/>
        <w:ind w:firstLine="420"/>
        <w:rPr>
          <w:rFonts w:ascii="Times New Roman"/>
        </w:rPr>
      </w:pPr>
      <w:r>
        <w:rPr>
          <w:rFonts w:hint="eastAsia" w:ascii="Times New Roman"/>
        </w:rPr>
        <w:t>本文件起草单位：首都医科大学宣武医院、山东第一医科大学附属省立医院、陆军军医大学大坪医院（陆军特色医学中心）、复旦大学附属华山医院、中国医科大学附属第一医院、深圳市慢性病防治中心、海南医科大学第二附属医院、宜春市人民医院、宁夏医科大学总医院。</w:t>
      </w:r>
    </w:p>
    <w:p>
      <w:pPr>
        <w:pStyle w:val="24"/>
        <w:spacing w:line="360" w:lineRule="exact"/>
        <w:ind w:firstLine="420"/>
        <w:rPr>
          <w:rFonts w:ascii="Times New Roman"/>
        </w:rPr>
      </w:pPr>
      <w:r>
        <w:rPr>
          <w:rFonts w:hint="eastAsia" w:ascii="Times New Roman"/>
        </w:rPr>
        <w:t>本文件主要起草人：唐毅、秦琪、杜怡峰、王延江、王培昌、谢芳</w:t>
      </w:r>
    </w:p>
    <w:p>
      <w:pPr>
        <w:pStyle w:val="24"/>
        <w:spacing w:line="360" w:lineRule="exact"/>
        <w:ind w:firstLine="420"/>
        <w:rPr>
          <w:rFonts w:hAnsi="宋体"/>
        </w:rPr>
      </w:pPr>
      <w:r>
        <w:rPr>
          <w:rFonts w:hint="eastAsia" w:ascii="Times New Roman"/>
        </w:rPr>
        <w:t>本文件其他起草人：刘华岩、徐健、游咏、辛花平、赵春梅、宋乔、胡超、王彦、韩伟、</w:t>
      </w:r>
      <w:r>
        <w:rPr>
          <w:rFonts w:hint="eastAsia" w:hAnsi="宋体"/>
        </w:rPr>
        <w:t>夏心怡、王婧婉</w:t>
      </w:r>
    </w:p>
    <w:p>
      <w:pPr>
        <w:pStyle w:val="24"/>
        <w:ind w:firstLine="420"/>
      </w:pPr>
      <w:r>
        <w:br w:type="page"/>
      </w:r>
    </w:p>
    <w:p>
      <w:pPr>
        <w:pStyle w:val="31"/>
        <w:rPr>
          <w:rFonts w:ascii="Times New Roman"/>
          <w:i/>
          <w:color w:val="0070C0"/>
          <w:sz w:val="20"/>
          <w:szCs w:val="21"/>
        </w:rPr>
      </w:pPr>
      <w:bookmarkStart w:id="4" w:name="_Toc510534526"/>
      <w:bookmarkStart w:id="5" w:name="_Toc436205034"/>
      <w:bookmarkStart w:id="6" w:name="_Toc1138"/>
      <w:bookmarkStart w:id="7" w:name="_Toc509933847"/>
      <w:r>
        <w:rPr>
          <w:rFonts w:hint="eastAsia"/>
          <w:b/>
          <w:bCs/>
        </w:rPr>
        <w:t>引</w:t>
      </w:r>
      <w:r>
        <w:rPr>
          <w:b/>
          <w:bCs/>
        </w:rPr>
        <w:t> </w:t>
      </w:r>
      <w:r>
        <w:rPr>
          <w:rFonts w:hint="eastAsia"/>
          <w:b/>
          <w:bCs/>
        </w:rPr>
        <w:t>言</w:t>
      </w:r>
      <w:bookmarkEnd w:id="4"/>
      <w:bookmarkEnd w:id="5"/>
      <w:bookmarkEnd w:id="6"/>
      <w:bookmarkEnd w:id="7"/>
      <w:bookmarkStart w:id="8" w:name="_Hlk130371822"/>
    </w:p>
    <w:p>
      <w:pPr>
        <w:widowControl/>
        <w:spacing w:line="360" w:lineRule="exact"/>
        <w:ind w:firstLine="420"/>
        <w:rPr>
          <w:rFonts w:ascii="宋体" w:hAnsi="宋体" w:eastAsia="宋体" w:cs="宋体"/>
          <w:iCs/>
          <w:kern w:val="0"/>
          <w:szCs w:val="21"/>
        </w:rPr>
      </w:pPr>
      <w:r>
        <w:rPr>
          <w:rFonts w:hint="eastAsia" w:ascii="宋体" w:hAnsi="宋体" w:eastAsia="宋体" w:cs="宋体"/>
          <w:iCs/>
          <w:kern w:val="0"/>
          <w:szCs w:val="21"/>
        </w:rPr>
        <w:t>阿尔茨海默病血液生物标志物检测结果易受采血管类型、采血后放置时间、离心、血浆分离、分装、保存、运输和冻融等前分析因素影响。</w:t>
      </w:r>
    </w:p>
    <w:p>
      <w:pPr>
        <w:widowControl/>
        <w:spacing w:line="360" w:lineRule="exact"/>
        <w:ind w:firstLine="420"/>
        <w:rPr>
          <w:rFonts w:ascii="宋体" w:hAnsi="宋体" w:eastAsia="宋体" w:cs="宋体"/>
          <w:iCs/>
          <w:kern w:val="0"/>
          <w:szCs w:val="21"/>
        </w:rPr>
      </w:pPr>
      <w:r>
        <w:rPr>
          <w:rFonts w:hint="eastAsia" w:ascii="宋体" w:hAnsi="宋体" w:eastAsia="宋体" w:cs="宋体"/>
          <w:iCs/>
          <w:kern w:val="0"/>
          <w:szCs w:val="21"/>
        </w:rPr>
        <w:t>不同医疗机构、研究中心和检测实验室的样本处理流程尚未完全统一，可能影响检测结果的稳定性以及不同中心、批次和检测平台间的可比性。尤其在基层采样点向中心实验室转运的场景中，保存和运输条件差异较为突出。</w:t>
      </w:r>
    </w:p>
    <w:p>
      <w:pPr>
        <w:widowControl/>
        <w:spacing w:line="360" w:lineRule="exact"/>
        <w:ind w:firstLine="420"/>
        <w:rPr>
          <w:rFonts w:ascii="Times New Roman" w:hAnsi="Times New Roman" w:eastAsia="黑体" w:cs="Times New Roman"/>
          <w:i/>
          <w:color w:val="0070C0"/>
          <w:kern w:val="0"/>
          <w:szCs w:val="21"/>
        </w:rPr>
      </w:pPr>
      <w:r>
        <w:rPr>
          <w:rFonts w:hint="eastAsia" w:ascii="宋体" w:hAnsi="宋体" w:eastAsia="宋体" w:cs="宋体"/>
          <w:iCs/>
          <w:kern w:val="0"/>
          <w:szCs w:val="21"/>
        </w:rPr>
        <w:t>为规范阿尔茨海默病血液生物标志物检测用K₂-EDTA血浆样本的预处理流程，减少前分析差异，有必要制定本文件。</w:t>
      </w:r>
    </w:p>
    <w:p>
      <w:pPr>
        <w:widowControl/>
        <w:ind w:firstLine="420"/>
        <w:rPr>
          <w:rFonts w:ascii="Times New Roman" w:hAnsi="Times New Roman" w:eastAsia="黑体" w:cs="Times New Roman"/>
          <w:i/>
          <w:color w:val="0070C0"/>
          <w:kern w:val="0"/>
          <w:sz w:val="20"/>
          <w:szCs w:val="21"/>
        </w:rPr>
      </w:pPr>
    </w:p>
    <w:bookmarkEnd w:id="8"/>
    <w:p>
      <w:pPr>
        <w:widowControl/>
        <w:rPr>
          <w:rFonts w:ascii="Times New Roman" w:hAnsi="Times New Roman" w:eastAsia="黑体" w:cs="Times New Roman"/>
          <w:i/>
          <w:color w:val="0070C0"/>
          <w:kern w:val="0"/>
          <w:sz w:val="20"/>
          <w:szCs w:val="21"/>
        </w:rPr>
        <w:sectPr>
          <w:headerReference r:id="rId9" w:type="default"/>
          <w:footerReference r:id="rId10" w:type="default"/>
          <w:pgSz w:w="11906" w:h="16838"/>
          <w:pgMar w:top="1440" w:right="1797" w:bottom="1440" w:left="1797" w:header="1418" w:footer="1134" w:gutter="0"/>
          <w:pgNumType w:fmt="upperRoman" w:start="1"/>
          <w:cols w:space="720" w:num="1"/>
          <w:formProt w:val="0"/>
          <w:docGrid w:linePitch="312" w:charSpace="0"/>
        </w:sectPr>
      </w:pPr>
    </w:p>
    <w:p>
      <w:pPr>
        <w:pStyle w:val="31"/>
        <w:rPr>
          <w:rFonts w:ascii="Times New Roman"/>
        </w:rPr>
      </w:pPr>
      <w:bookmarkStart w:id="9" w:name="_Toc459720143"/>
      <w:bookmarkStart w:id="10" w:name="_Toc509933849"/>
      <w:bookmarkStart w:id="11" w:name="_Toc459704603"/>
      <w:bookmarkStart w:id="12" w:name="_Toc510534528"/>
      <w:bookmarkStart w:id="13" w:name="_Toc459724774"/>
      <w:r>
        <w:rPr>
          <w:rFonts w:hint="eastAsia" w:ascii="Times New Roman"/>
        </w:rPr>
        <w:t>阿尔茨海默病血液生物标志物样本预处理技术规范</w:t>
      </w:r>
    </w:p>
    <w:bookmarkEnd w:id="9"/>
    <w:bookmarkEnd w:id="10"/>
    <w:bookmarkEnd w:id="11"/>
    <w:bookmarkEnd w:id="12"/>
    <w:bookmarkEnd w:id="13"/>
    <w:p>
      <w:pPr>
        <w:spacing w:before="240" w:beforeLines="100" w:after="240" w:afterLines="100" w:line="360" w:lineRule="exact"/>
        <w:jc w:val="left"/>
        <w:outlineLvl w:val="0"/>
        <w:rPr>
          <w:rFonts w:ascii="黑体" w:hAnsi="黑体" w:eastAsia="黑体" w:cs="黑体"/>
        </w:rPr>
      </w:pPr>
      <w:bookmarkStart w:id="14" w:name="_Toc19749"/>
      <w:bookmarkStart w:id="15" w:name="_Toc459724775"/>
      <w:bookmarkStart w:id="16" w:name="_Toc459720144"/>
      <w:bookmarkStart w:id="17" w:name="_Toc459704604"/>
      <w:r>
        <w:rPr>
          <w:rFonts w:hint="eastAsia" w:ascii="黑体" w:hAnsi="黑体" w:eastAsia="黑体" w:cs="黑体"/>
        </w:rPr>
        <w:t>1  范围</w:t>
      </w:r>
      <w:bookmarkEnd w:id="14"/>
    </w:p>
    <w:p>
      <w:pPr>
        <w:pStyle w:val="24"/>
        <w:spacing w:line="360" w:lineRule="exact"/>
        <w:ind w:firstLine="420"/>
      </w:pPr>
      <w:r>
        <w:rPr>
          <w:rFonts w:hint="eastAsia"/>
        </w:rPr>
        <w:t>本文件规定了阿尔茨海默病血液生物标志物样本预处理的基本要求、样本采集与处理、样本保存与运输、冻融控制、质量控制、记录追溯及样本管理要求。</w:t>
      </w:r>
    </w:p>
    <w:p>
      <w:pPr>
        <w:pStyle w:val="24"/>
        <w:spacing w:line="360" w:lineRule="exact"/>
        <w:ind w:firstLine="420"/>
      </w:pPr>
      <w:r>
        <w:rPr>
          <w:rFonts w:hint="eastAsia"/>
        </w:rPr>
        <w:t>本文件适用于医疗机构、医学检验实验室、科研机构及多中心队列研究单位开展阿尔茨海默病血液生物标志物检测相关样本的采集、离心、分装、保存、运输、冻融及检测前管理。</w:t>
      </w:r>
    </w:p>
    <w:p>
      <w:pPr>
        <w:pStyle w:val="24"/>
        <w:spacing w:line="360" w:lineRule="exact"/>
        <w:ind w:firstLine="420"/>
      </w:pPr>
      <w:r>
        <w:rPr>
          <w:rFonts w:hint="eastAsia"/>
        </w:rPr>
        <w:t>本文件适用于K₂-EDTA抗凝血制备的血浆样本，不适用于血清、肝素血浆、枸橼酸血浆、毛细血管血及其他非血浆样本。本文件不规定检测适应证、筛查对象、具体检测方法、诊断阈值和结果解释，不替代完整的临床评估。</w:t>
      </w:r>
    </w:p>
    <w:bookmarkEnd w:id="15"/>
    <w:bookmarkEnd w:id="16"/>
    <w:bookmarkEnd w:id="17"/>
    <w:p>
      <w:pPr>
        <w:spacing w:before="240" w:beforeLines="100" w:after="240" w:afterLines="100" w:line="360" w:lineRule="exact"/>
        <w:jc w:val="left"/>
        <w:outlineLvl w:val="0"/>
        <w:rPr>
          <w:rFonts w:ascii="黑体" w:hAnsi="黑体" w:eastAsia="黑体" w:cs="黑体"/>
        </w:rPr>
      </w:pPr>
      <w:bookmarkStart w:id="18" w:name="_Toc459704605"/>
      <w:bookmarkEnd w:id="18"/>
      <w:bookmarkStart w:id="19" w:name="_Toc30123"/>
      <w:bookmarkStart w:id="20" w:name="_Toc459724776"/>
      <w:bookmarkStart w:id="21" w:name="_Toc459720145"/>
      <w:r>
        <w:rPr>
          <w:rFonts w:hint="eastAsia" w:ascii="黑体" w:hAnsi="黑体" w:eastAsia="黑体" w:cs="黑体"/>
        </w:rPr>
        <w:t>2  规范性引用文件</w:t>
      </w:r>
      <w:bookmarkEnd w:id="19"/>
    </w:p>
    <w:p>
      <w:pPr>
        <w:pStyle w:val="24"/>
        <w:tabs>
          <w:tab w:val="center" w:pos="4201"/>
          <w:tab w:val="right" w:leader="dot" w:pos="9298"/>
        </w:tabs>
        <w:spacing w:line="360" w:lineRule="exact"/>
        <w:ind w:firstLine="420"/>
        <w:rPr>
          <w:rFonts w:ascii="Times New Roman"/>
          <w:color w:val="000000"/>
        </w:rPr>
      </w:pPr>
      <w:r>
        <w:rPr>
          <w:rFonts w:hint="eastAsia" w:ascii="Times New Roman"/>
          <w:color w:val="000000"/>
        </w:rPr>
        <w:t>下列文件中的内容通过文中的规范性引用而构成本文件必不可少的条款。其中，注日期的引用文件，仅该日期对应的版本适用于本文件；不注日期的引用文件，其最新版本（包括所有的修改单）适用于本文件。</w:t>
      </w:r>
    </w:p>
    <w:p>
      <w:pPr>
        <w:spacing w:line="360" w:lineRule="exact"/>
        <w:ind w:firstLine="420" w:firstLineChars="200"/>
      </w:pPr>
      <w:r>
        <w:rPr>
          <w:rFonts w:ascii="Times New Roman" w:hAnsi="Times New Roman" w:eastAsia="宋体"/>
        </w:rPr>
        <w:t>GB/T 22576.1—2026  医学实验室 质量和能力的要求 第1部分：通用要求</w:t>
      </w:r>
    </w:p>
    <w:p>
      <w:pPr>
        <w:spacing w:line="360" w:lineRule="exact"/>
        <w:ind w:firstLine="420" w:firstLineChars="200"/>
        <w:rPr>
          <w:rFonts w:ascii="Times New Roman" w:hAnsi="Times New Roman" w:eastAsia="宋体"/>
        </w:rPr>
      </w:pPr>
      <w:r>
        <w:rPr>
          <w:rFonts w:hint="eastAsia" w:ascii="Times New Roman" w:hAnsi="Times New Roman" w:eastAsia="宋体"/>
        </w:rPr>
        <w:t>WS/T 225—2024  临床化学检验血液标本的采集与处理</w:t>
      </w:r>
    </w:p>
    <w:p>
      <w:pPr>
        <w:spacing w:before="240" w:beforeLines="100" w:after="240" w:afterLines="100" w:line="360" w:lineRule="exact"/>
        <w:jc w:val="left"/>
        <w:outlineLvl w:val="0"/>
        <w:rPr>
          <w:rFonts w:ascii="黑体" w:hAnsi="黑体" w:eastAsia="黑体" w:cs="黑体"/>
        </w:rPr>
      </w:pPr>
      <w:bookmarkStart w:id="22" w:name="_Toc7687"/>
      <w:bookmarkStart w:id="23" w:name="_Hlk92788667"/>
      <w:r>
        <w:rPr>
          <w:rFonts w:hint="eastAsia" w:ascii="黑体" w:hAnsi="黑体" w:eastAsia="黑体" w:cs="黑体"/>
        </w:rPr>
        <w:t>3  术语和定义</w:t>
      </w:r>
      <w:bookmarkEnd w:id="22"/>
    </w:p>
    <w:p>
      <w:pPr>
        <w:pStyle w:val="24"/>
        <w:spacing w:line="360" w:lineRule="exact"/>
        <w:ind w:firstLine="420"/>
      </w:pPr>
      <w:r>
        <w:rPr>
          <w:rFonts w:hint="eastAsia"/>
        </w:rPr>
        <w:t>下列术语和定义适用于本文件。</w:t>
      </w:r>
    </w:p>
    <w:bookmarkEnd w:id="23"/>
    <w:p>
      <w:pPr>
        <w:pStyle w:val="24"/>
        <w:spacing w:before="120" w:beforeLines="50" w:after="120" w:afterLines="50" w:line="360" w:lineRule="exact"/>
        <w:ind w:firstLine="0" w:firstLineChars="0"/>
        <w:rPr>
          <w:rFonts w:ascii="黑体" w:hAnsi="黑体" w:eastAsia="黑体"/>
        </w:rPr>
      </w:pPr>
      <w:r>
        <w:rPr>
          <w:rFonts w:ascii="黑体" w:hAnsi="黑体" w:eastAsia="黑体"/>
        </w:rPr>
        <w:t>3.1</w:t>
      </w:r>
    </w:p>
    <w:p>
      <w:pPr>
        <w:pStyle w:val="24"/>
        <w:spacing w:before="120" w:beforeLines="50" w:after="120" w:afterLines="50" w:line="360" w:lineRule="exact"/>
        <w:ind w:firstLine="420"/>
        <w:rPr>
          <w:rFonts w:ascii="黑体" w:hAnsi="黑体" w:eastAsia="黑体" w:cs="黑体"/>
        </w:rPr>
      </w:pPr>
      <w:r>
        <w:rPr>
          <w:rFonts w:hint="eastAsia" w:ascii="黑体" w:hAnsi="黑体" w:eastAsia="黑体" w:cs="黑体"/>
        </w:rPr>
        <w:t>阿尔茨海默病 Alzheimer’s disease</w:t>
      </w:r>
    </w:p>
    <w:p>
      <w:pPr>
        <w:pStyle w:val="24"/>
        <w:spacing w:line="360" w:lineRule="exact"/>
        <w:ind w:firstLine="420"/>
        <w:rPr>
          <w:rFonts w:hAnsi="宋体" w:cs="宋体"/>
        </w:rPr>
      </w:pPr>
      <w:r>
        <w:rPr>
          <w:rFonts w:hint="eastAsia" w:hAnsi="宋体" w:cs="宋体"/>
        </w:rPr>
        <w:t>一种以进行性认知功能下降和日常生活能力受损为主要临床表现的神经退行性疾病，其病理过程与淀粉样蛋白沉积、tau蛋白异常磷酸化及神经退行性改变等有关。</w:t>
      </w:r>
    </w:p>
    <w:p>
      <w:pPr>
        <w:pStyle w:val="24"/>
        <w:spacing w:before="120" w:beforeLines="50" w:after="120" w:afterLines="50" w:line="360" w:lineRule="exact"/>
        <w:ind w:firstLine="0" w:firstLineChars="0"/>
        <w:rPr>
          <w:rFonts w:ascii="黑体" w:hAnsi="黑体" w:eastAsia="黑体"/>
        </w:rPr>
      </w:pPr>
      <w:r>
        <w:rPr>
          <w:rFonts w:ascii="黑体" w:hAnsi="黑体" w:eastAsia="黑体"/>
        </w:rPr>
        <w:t>3.2</w:t>
      </w:r>
    </w:p>
    <w:p>
      <w:pPr>
        <w:pStyle w:val="24"/>
        <w:spacing w:before="120" w:beforeLines="50" w:after="120" w:afterLines="50" w:line="360" w:lineRule="exact"/>
        <w:ind w:firstLine="420"/>
        <w:rPr>
          <w:rFonts w:ascii="黑体" w:hAnsi="黑体" w:eastAsia="黑体" w:cs="黑体"/>
        </w:rPr>
      </w:pPr>
      <w:r>
        <w:rPr>
          <w:rFonts w:hint="eastAsia" w:ascii="黑体" w:hAnsi="黑体" w:eastAsia="黑体" w:cs="黑体"/>
        </w:rPr>
        <w:t>血液生物标志物 blood-based biomarker</w:t>
      </w:r>
    </w:p>
    <w:p>
      <w:pPr>
        <w:pStyle w:val="24"/>
        <w:spacing w:line="360" w:lineRule="exact"/>
        <w:ind w:firstLine="420"/>
      </w:pPr>
      <w:r>
        <w:rPr>
          <w:rFonts w:hint="eastAsia"/>
        </w:rPr>
        <w:t>来源于血液样本、能够反映疾病发生、发展、病理状态或治疗反应的可测量生物学指标。</w:t>
      </w:r>
    </w:p>
    <w:p>
      <w:pPr>
        <w:pStyle w:val="24"/>
        <w:spacing w:line="360" w:lineRule="exact"/>
        <w:ind w:firstLine="420"/>
      </w:pPr>
      <w:r>
        <w:rPr>
          <w:rFonts w:hint="eastAsia"/>
        </w:rPr>
        <w:t xml:space="preserve">注：阿尔茨海默病血液生物标志物 </w:t>
      </w:r>
      <w:r>
        <w:rPr>
          <w:rFonts w:ascii="Times New Roman"/>
        </w:rPr>
        <w:t>Alzheimer’s disease blood-based biomarker</w:t>
      </w:r>
      <w:r>
        <w:rPr>
          <w:rFonts w:hint="eastAsia"/>
        </w:rPr>
        <w:t>，是指来源于血液或其组分，可用于反映阿尔茨海默病相关淀粉样蛋白病理、tau蛋白病理、神经退行性改变、疾病风险或病程进展的血液生物标志物。</w:t>
      </w:r>
    </w:p>
    <w:p>
      <w:pPr>
        <w:pStyle w:val="24"/>
        <w:spacing w:before="120" w:beforeLines="50" w:after="120" w:afterLines="50" w:line="360" w:lineRule="exact"/>
        <w:ind w:firstLine="0" w:firstLineChars="0"/>
        <w:rPr>
          <w:rFonts w:ascii="黑体" w:hAnsi="黑体" w:eastAsia="黑体"/>
        </w:rPr>
      </w:pPr>
      <w:r>
        <w:rPr>
          <w:rFonts w:ascii="黑体" w:hAnsi="黑体" w:eastAsia="黑体"/>
        </w:rPr>
        <w:t>3.</w:t>
      </w:r>
      <w:r>
        <w:rPr>
          <w:rFonts w:hint="eastAsia" w:ascii="黑体" w:hAnsi="黑体" w:eastAsia="黑体"/>
        </w:rPr>
        <w:t>3</w:t>
      </w:r>
    </w:p>
    <w:p>
      <w:pPr>
        <w:pStyle w:val="24"/>
        <w:spacing w:before="120" w:beforeLines="50" w:after="120" w:afterLines="50" w:line="360" w:lineRule="exact"/>
        <w:ind w:firstLine="420"/>
        <w:rPr>
          <w:rFonts w:ascii="黑体" w:hAnsi="黑体" w:eastAsia="黑体" w:cs="黑体"/>
        </w:rPr>
      </w:pPr>
      <w:r>
        <w:rPr>
          <w:rFonts w:hint="eastAsia" w:ascii="黑体" w:hAnsi="黑体" w:eastAsia="黑体" w:cs="黑体"/>
        </w:rPr>
        <w:t>样本预处理 pre-analytical processing</w:t>
      </w:r>
    </w:p>
    <w:p>
      <w:pPr>
        <w:pStyle w:val="24"/>
        <w:spacing w:line="360" w:lineRule="exact"/>
        <w:ind w:firstLine="420"/>
        <w:rPr>
          <w:rFonts w:hAnsi="宋体" w:cs="宋体"/>
        </w:rPr>
      </w:pPr>
      <w:r>
        <w:rPr>
          <w:rFonts w:hint="eastAsia" w:hAnsi="宋体" w:cs="宋体"/>
        </w:rPr>
        <w:t>血液样本采集后至检测前，为保证样本质量和检测结果稳定性而实施的处理过程，包括采血后放置、离心、血浆分离、分装、短期保存、运输、长期冻存及冻融控制。</w:t>
      </w:r>
    </w:p>
    <w:p>
      <w:pPr>
        <w:pStyle w:val="24"/>
        <w:spacing w:before="120" w:beforeLines="50" w:after="120" w:afterLines="50" w:line="360" w:lineRule="exact"/>
        <w:ind w:firstLine="0" w:firstLineChars="0"/>
        <w:rPr>
          <w:rFonts w:ascii="黑体" w:hAnsi="黑体" w:eastAsia="黑体"/>
        </w:rPr>
      </w:pPr>
      <w:r>
        <w:rPr>
          <w:rFonts w:ascii="黑体" w:hAnsi="黑体" w:eastAsia="黑体"/>
        </w:rPr>
        <w:t>3.</w:t>
      </w:r>
      <w:r>
        <w:rPr>
          <w:rFonts w:hint="eastAsia" w:ascii="黑体" w:hAnsi="黑体" w:eastAsia="黑体"/>
        </w:rPr>
        <w:t>4</w:t>
      </w:r>
    </w:p>
    <w:p>
      <w:pPr>
        <w:pStyle w:val="24"/>
        <w:spacing w:before="120" w:beforeLines="50" w:after="120" w:afterLines="50" w:line="360" w:lineRule="exact"/>
        <w:ind w:firstLine="420"/>
        <w:rPr>
          <w:rFonts w:ascii="黑体" w:hAnsi="黑体" w:eastAsia="黑体" w:cs="黑体"/>
        </w:rPr>
      </w:pPr>
      <w:r>
        <w:rPr>
          <w:rFonts w:hint="eastAsia" w:ascii="黑体" w:hAnsi="黑体" w:eastAsia="黑体" w:cs="黑体"/>
        </w:rPr>
        <w:t>白膜层 buffy coat</w:t>
      </w:r>
    </w:p>
    <w:p>
      <w:pPr>
        <w:pStyle w:val="24"/>
        <w:spacing w:line="360" w:lineRule="exact"/>
        <w:ind w:firstLine="420"/>
        <w:rPr>
          <w:rFonts w:hAnsi="宋体" w:cs="宋体"/>
        </w:rPr>
      </w:pPr>
      <w:r>
        <w:rPr>
          <w:rFonts w:hint="eastAsia" w:hAnsi="宋体" w:cs="宋体"/>
        </w:rPr>
        <w:t>抗凝全血离心后形成的位于上层血浆与底部红细胞层之间的白色或浅白色细胞层，主要含白细胞和血小板。</w:t>
      </w:r>
    </w:p>
    <w:p>
      <w:pPr>
        <w:pStyle w:val="24"/>
        <w:spacing w:before="120" w:beforeLines="50" w:after="120" w:afterLines="50" w:line="360" w:lineRule="exact"/>
        <w:ind w:firstLine="0" w:firstLineChars="0"/>
        <w:rPr>
          <w:rFonts w:ascii="黑体" w:hAnsi="黑体" w:eastAsia="黑体"/>
        </w:rPr>
      </w:pPr>
      <w:r>
        <w:rPr>
          <w:rFonts w:ascii="黑体" w:hAnsi="黑体" w:eastAsia="黑体"/>
        </w:rPr>
        <w:t>3.</w:t>
      </w:r>
      <w:r>
        <w:rPr>
          <w:rFonts w:hint="eastAsia" w:ascii="黑体" w:hAnsi="黑体" w:eastAsia="黑体"/>
        </w:rPr>
        <w:t>5</w:t>
      </w:r>
    </w:p>
    <w:p>
      <w:pPr>
        <w:pStyle w:val="24"/>
        <w:spacing w:before="120" w:beforeLines="50" w:after="120" w:afterLines="50" w:line="360" w:lineRule="exact"/>
        <w:ind w:firstLine="420"/>
        <w:rPr>
          <w:rFonts w:ascii="黑体" w:hAnsi="黑体" w:eastAsia="黑体" w:cs="黑体"/>
        </w:rPr>
      </w:pPr>
      <w:r>
        <w:rPr>
          <w:rFonts w:hint="eastAsia" w:ascii="黑体" w:hAnsi="黑体" w:eastAsia="黑体" w:cs="黑体"/>
        </w:rPr>
        <w:t>血浆 plasma</w:t>
      </w:r>
    </w:p>
    <w:p>
      <w:pPr>
        <w:pStyle w:val="24"/>
        <w:spacing w:line="360" w:lineRule="exact"/>
        <w:ind w:firstLine="420"/>
        <w:rPr>
          <w:rFonts w:hAnsi="宋体" w:cs="宋体"/>
        </w:rPr>
      </w:pPr>
      <w:r>
        <w:rPr>
          <w:rFonts w:hint="eastAsia" w:hAnsi="宋体" w:cs="宋体"/>
        </w:rPr>
        <w:t>全血经抗凝处理并离心后获得的液体成分，不含完整血细胞，主要用于本文件所规定的阿尔茨海默病血液生物标志物检测预处理和保存。</w:t>
      </w:r>
    </w:p>
    <w:p>
      <w:pPr>
        <w:pStyle w:val="24"/>
        <w:spacing w:before="120" w:beforeLines="50" w:after="120" w:afterLines="50" w:line="360" w:lineRule="exact"/>
        <w:ind w:firstLine="0" w:firstLineChars="0"/>
        <w:rPr>
          <w:rFonts w:ascii="黑体" w:hAnsi="黑体" w:eastAsia="黑体"/>
        </w:rPr>
      </w:pPr>
      <w:r>
        <w:rPr>
          <w:rFonts w:ascii="黑体" w:hAnsi="黑体" w:eastAsia="黑体"/>
        </w:rPr>
        <w:t>3.</w:t>
      </w:r>
      <w:r>
        <w:rPr>
          <w:rFonts w:hint="eastAsia" w:ascii="黑体" w:hAnsi="黑体" w:eastAsia="黑体"/>
        </w:rPr>
        <w:t>6</w:t>
      </w:r>
    </w:p>
    <w:p>
      <w:pPr>
        <w:pStyle w:val="24"/>
        <w:spacing w:before="120" w:beforeLines="50" w:after="120" w:afterLines="50" w:line="360" w:lineRule="exact"/>
        <w:ind w:firstLine="420"/>
        <w:rPr>
          <w:rFonts w:ascii="黑体" w:hAnsi="黑体" w:eastAsia="黑体" w:cs="黑体"/>
        </w:rPr>
      </w:pPr>
      <w:r>
        <w:rPr>
          <w:rFonts w:hint="eastAsia" w:ascii="黑体" w:hAnsi="黑体" w:eastAsia="黑体" w:cs="黑体"/>
        </w:rPr>
        <w:t>溶血 hemolysis</w:t>
      </w:r>
    </w:p>
    <w:p>
      <w:pPr>
        <w:pStyle w:val="24"/>
        <w:spacing w:line="360" w:lineRule="exact"/>
        <w:ind w:firstLine="420"/>
        <w:rPr>
          <w:rFonts w:hAnsi="宋体" w:cs="宋体"/>
        </w:rPr>
      </w:pPr>
      <w:r>
        <w:rPr>
          <w:rFonts w:hint="eastAsia" w:hAnsi="宋体" w:cs="宋体"/>
        </w:rPr>
        <w:t>溶血是指红细胞膜破裂，细胞内成分（如血红蛋白及其他细胞内组分）释放至血清或血浆的现象。在体外条件下，溶血通常是由样本采集、运输、处理或储存不当等因素诱发的，从而影响检测结果的准确性</w:t>
      </w:r>
      <w:r>
        <w:rPr>
          <w:rFonts w:hint="eastAsia" w:ascii="黑体" w:hAnsi="黑体" w:eastAsia="黑体"/>
        </w:rPr>
        <w:t>。</w:t>
      </w:r>
    </w:p>
    <w:p>
      <w:pPr>
        <w:pStyle w:val="24"/>
        <w:spacing w:before="120" w:beforeLines="50" w:after="120" w:afterLines="50" w:line="360" w:lineRule="exact"/>
        <w:ind w:firstLine="0" w:firstLineChars="0"/>
        <w:rPr>
          <w:rFonts w:ascii="黑体" w:hAnsi="黑体" w:eastAsia="黑体"/>
        </w:rPr>
      </w:pPr>
      <w:r>
        <w:rPr>
          <w:rFonts w:ascii="黑体" w:hAnsi="黑体" w:eastAsia="黑体"/>
        </w:rPr>
        <w:t>3.</w:t>
      </w:r>
      <w:r>
        <w:rPr>
          <w:rFonts w:hint="eastAsia" w:ascii="黑体" w:hAnsi="黑体" w:eastAsia="黑体"/>
        </w:rPr>
        <w:t>7</w:t>
      </w:r>
    </w:p>
    <w:p>
      <w:pPr>
        <w:pStyle w:val="24"/>
        <w:spacing w:before="120" w:beforeLines="50" w:after="120" w:afterLines="50" w:line="360" w:lineRule="exact"/>
        <w:ind w:firstLine="420"/>
        <w:rPr>
          <w:rFonts w:ascii="黑体" w:hAnsi="黑体" w:eastAsia="黑体" w:cs="黑体"/>
        </w:rPr>
      </w:pPr>
      <w:r>
        <w:rPr>
          <w:rFonts w:hint="eastAsia" w:ascii="黑体" w:hAnsi="黑体" w:eastAsia="黑体" w:cs="黑体"/>
        </w:rPr>
        <w:t>冻融 freeze-thaw</w:t>
      </w:r>
    </w:p>
    <w:p>
      <w:pPr>
        <w:pStyle w:val="24"/>
        <w:spacing w:line="360" w:lineRule="exact"/>
        <w:ind w:firstLine="420" w:firstLineChars="0"/>
        <w:rPr>
          <w:rFonts w:hAnsi="宋体" w:cs="宋体"/>
        </w:rPr>
      </w:pPr>
      <w:r>
        <w:rPr>
          <w:rFonts w:hint="eastAsia" w:hAnsi="宋体" w:cs="宋体"/>
        </w:rPr>
        <w:t>冻存样本经解冻至融化状态后再次置于低温条件冻结的过程；一次解冻并再次冻结记为一次冻融循环。</w:t>
      </w:r>
    </w:p>
    <w:p>
      <w:pPr>
        <w:pStyle w:val="24"/>
        <w:spacing w:before="120" w:beforeLines="50" w:after="120" w:afterLines="50" w:line="360" w:lineRule="exact"/>
        <w:ind w:firstLine="0" w:firstLineChars="0"/>
        <w:rPr>
          <w:rFonts w:ascii="黑体" w:hAnsi="黑体" w:eastAsia="黑体"/>
        </w:rPr>
      </w:pPr>
      <w:r>
        <w:rPr>
          <w:rFonts w:ascii="黑体" w:hAnsi="黑体" w:eastAsia="黑体"/>
        </w:rPr>
        <w:t>3.</w:t>
      </w:r>
      <w:r>
        <w:rPr>
          <w:rFonts w:hint="eastAsia" w:ascii="黑体" w:hAnsi="黑体" w:eastAsia="黑体"/>
        </w:rPr>
        <w:t>8</w:t>
      </w:r>
    </w:p>
    <w:p>
      <w:pPr>
        <w:pStyle w:val="24"/>
        <w:spacing w:before="120" w:beforeLines="50" w:after="120" w:afterLines="50" w:line="360" w:lineRule="exact"/>
        <w:ind w:firstLine="420"/>
        <w:rPr>
          <w:rFonts w:ascii="黑体" w:hAnsi="黑体" w:eastAsia="黑体" w:cs="黑体"/>
        </w:rPr>
      </w:pPr>
      <w:r>
        <w:rPr>
          <w:rFonts w:hint="eastAsia" w:ascii="黑体" w:hAnsi="黑体" w:eastAsia="黑体" w:cs="黑体"/>
        </w:rPr>
        <w:t>不合格样本 unqualified specimen</w:t>
      </w:r>
    </w:p>
    <w:p>
      <w:pPr>
        <w:pStyle w:val="24"/>
        <w:spacing w:line="360" w:lineRule="exact"/>
        <w:ind w:firstLine="420"/>
        <w:rPr>
          <w:rFonts w:hAnsi="宋体" w:cs="宋体"/>
        </w:rPr>
      </w:pPr>
      <w:r>
        <w:rPr>
          <w:rFonts w:hint="eastAsia" w:hAnsi="宋体" w:cs="宋体"/>
        </w:rPr>
        <w:t>在采集、标识、放置、离心、分离、分装、保存、运输、接收或冻融等环节不符合本文件或检测质量要求，或出现样本量不足、凝块、溶血、泄漏、超时、温度异常等情况，可能影响结果或样本可用性的样本。</w:t>
      </w:r>
    </w:p>
    <w:p>
      <w:pPr>
        <w:pStyle w:val="24"/>
        <w:tabs>
          <w:tab w:val="center" w:pos="4201"/>
          <w:tab w:val="right" w:leader="dot" w:pos="9298"/>
        </w:tabs>
        <w:spacing w:before="240" w:beforeLines="100" w:after="240" w:afterLines="100" w:line="360" w:lineRule="exact"/>
        <w:ind w:firstLine="0" w:firstLineChars="0"/>
        <w:outlineLvl w:val="0"/>
        <w:rPr>
          <w:rFonts w:ascii="黑体" w:hAnsi="黑体" w:eastAsia="黑体" w:cs="黑体"/>
          <w:color w:val="000000"/>
        </w:rPr>
      </w:pPr>
      <w:bookmarkStart w:id="24" w:name="_Toc3097"/>
      <w:r>
        <w:rPr>
          <w:rFonts w:hint="eastAsia" w:ascii="黑体" w:hAnsi="黑体" w:eastAsia="黑体" w:cs="黑体"/>
          <w:color w:val="000000"/>
        </w:rPr>
        <w:t>4  基本要求</w:t>
      </w:r>
      <w:bookmarkEnd w:id="24"/>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4.1 操作要求</w:t>
      </w:r>
    </w:p>
    <w:p>
      <w:pPr>
        <w:pStyle w:val="24"/>
        <w:tabs>
          <w:tab w:val="center" w:pos="4201"/>
          <w:tab w:val="right" w:leader="dot" w:pos="9298"/>
        </w:tabs>
        <w:spacing w:line="360" w:lineRule="exact"/>
        <w:ind w:firstLine="420"/>
        <w:rPr>
          <w:rFonts w:ascii="Times New Roman"/>
          <w:color w:val="000000"/>
        </w:rPr>
      </w:pPr>
      <w:r>
        <w:rPr>
          <w:rFonts w:hint="eastAsia" w:ascii="Times New Roman"/>
          <w:color w:val="000000"/>
        </w:rPr>
        <w:t>样本预处理应遵循标准化、同质化、可追溯、质量可控和生物安全原则。各单位应建立经批准的标准操作程序（standard operating procedure，SOP），并在同一研究、同一检测项目或同一临床服务流程内保持样本基质、采血管类型、处理时间、离心条件、分装耗材、保存温度和冻融控制的一致性。</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4.2 人员要求</w:t>
      </w:r>
    </w:p>
    <w:p>
      <w:pPr>
        <w:pStyle w:val="24"/>
        <w:tabs>
          <w:tab w:val="center" w:pos="4201"/>
          <w:tab w:val="right" w:leader="dot" w:pos="9298"/>
        </w:tabs>
        <w:spacing w:line="360" w:lineRule="exact"/>
        <w:ind w:firstLine="420"/>
        <w:rPr>
          <w:rFonts w:ascii="Times New Roman"/>
          <w:color w:val="000000"/>
        </w:rPr>
      </w:pPr>
      <w:r>
        <w:rPr>
          <w:rFonts w:hint="eastAsia" w:ascii="Times New Roman"/>
          <w:color w:val="000000"/>
        </w:rPr>
        <w:t>样本采集、处理和管理人员应接受血液样本预处理培训，熟悉操作流程及质量控制要求。涉及样本接收、分装、冻存和转运的人员应明确岗位职责。</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4.3 环境要求</w:t>
      </w:r>
    </w:p>
    <w:p>
      <w:pPr>
        <w:spacing w:line="360" w:lineRule="exact"/>
        <w:ind w:firstLine="420"/>
      </w:pPr>
      <w:r>
        <w:rPr>
          <w:rFonts w:ascii="Times New Roman" w:hAnsi="Times New Roman" w:eastAsia="宋体"/>
        </w:rPr>
        <w:t>样本采集和预处理环境应满足医学检验样本操作要求。血浆分离和分装宜在清洁、稳定、可避免交叉污染和样本混淆的区域完成。</w:t>
      </w:r>
    </w:p>
    <w:p>
      <w:pPr>
        <w:spacing w:line="360" w:lineRule="exact"/>
        <w:ind w:firstLine="420"/>
        <w:rPr>
          <w:rFonts w:ascii="Times New Roman" w:hAnsi="Times New Roman" w:eastAsia="宋体"/>
        </w:rPr>
      </w:pPr>
      <w:r>
        <w:rPr>
          <w:rFonts w:ascii="Times New Roman" w:hAnsi="Times New Roman" w:eastAsia="宋体"/>
        </w:rPr>
        <w:t>样本处理区应配备经校准或验证的离心机、移液器、低温保存设备、温度监测设备、样本转运容器和必要的个人防护用品。低温设备应具备连续或定期温度记录、报警和异常处置措施。</w:t>
      </w:r>
    </w:p>
    <w:p>
      <w:pPr>
        <w:pStyle w:val="24"/>
        <w:tabs>
          <w:tab w:val="center" w:pos="4201"/>
          <w:tab w:val="right" w:leader="dot" w:pos="9298"/>
        </w:tabs>
        <w:spacing w:before="120" w:beforeLines="50" w:after="120" w:afterLines="50"/>
        <w:ind w:firstLine="0" w:firstLineChars="0"/>
        <w:rPr>
          <w:rFonts w:ascii="黑体" w:hAnsi="黑体" w:eastAsia="黑体" w:cs="黑体"/>
          <w:color w:val="000000"/>
        </w:rPr>
      </w:pPr>
      <w:r>
        <w:rPr>
          <w:rFonts w:hint="eastAsia" w:ascii="黑体" w:hAnsi="黑体" w:eastAsia="黑体" w:cs="黑体"/>
          <w:color w:val="000000"/>
        </w:rPr>
        <w:t>4.4 实验室资质与质量体系</w:t>
      </w:r>
    </w:p>
    <w:p>
      <w:pPr>
        <w:spacing w:line="360" w:lineRule="exact"/>
        <w:ind w:firstLine="420"/>
        <w:rPr>
          <w:rFonts w:ascii="Times New Roman" w:hAnsi="Times New Roman" w:eastAsia="宋体"/>
        </w:rPr>
      </w:pPr>
      <w:r>
        <w:rPr>
          <w:rFonts w:hint="eastAsia" w:ascii="Times New Roman" w:hAnsi="Times New Roman" w:eastAsia="宋体"/>
        </w:rPr>
        <w:t>承担阿尔茨海默病血液生物标志物临床检测的实验室应依法具备相应医学检验服务资质，并在核准登记的医学检验专业范围内开展相关检测。实验室应配备满足检测要求的专业技术人员、场所、设施、设备和信息管理条件，建立覆盖样本采集、运输、接收、处理、保存、检测、结果报告、质量控制和生物安全的标准操作程序及记录体系。</w:t>
      </w:r>
    </w:p>
    <w:p>
      <w:pPr>
        <w:spacing w:line="360" w:lineRule="exact"/>
        <w:ind w:firstLine="420"/>
        <w:rPr>
          <w:rFonts w:ascii="Times New Roman" w:hAnsi="Times New Roman" w:eastAsia="宋体"/>
        </w:rPr>
      </w:pPr>
      <w:r>
        <w:rPr>
          <w:rFonts w:hint="eastAsia" w:ascii="Times New Roman" w:hAnsi="Times New Roman" w:eastAsia="宋体"/>
        </w:rPr>
        <w:t>用于多中心研究、临床转化验证或结果互认的检测实验室，宜按照GB/T 22576.1—2026建立质量管理体系，并通过中国合格评定国家认可委员会（CNAS）认可或等效质量体系认证；尚未取得认可的，应完成检测方法性能验证、室内质量控制、室间质量评价或实验室间比对，并保存相关记录。</w:t>
      </w:r>
    </w:p>
    <w:p>
      <w:pPr>
        <w:pStyle w:val="24"/>
        <w:tabs>
          <w:tab w:val="center" w:pos="4201"/>
          <w:tab w:val="right" w:leader="dot" w:pos="9298"/>
        </w:tabs>
        <w:spacing w:before="240" w:beforeLines="100" w:after="240" w:afterLines="100" w:line="360" w:lineRule="exact"/>
        <w:ind w:firstLine="0" w:firstLineChars="0"/>
        <w:outlineLvl w:val="0"/>
        <w:rPr>
          <w:rFonts w:ascii="黑体" w:hAnsi="黑体" w:eastAsia="黑体" w:cs="黑体"/>
          <w:color w:val="000000"/>
        </w:rPr>
      </w:pPr>
      <w:bookmarkStart w:id="25" w:name="_Toc26021"/>
      <w:r>
        <w:rPr>
          <w:rFonts w:hint="eastAsia" w:ascii="黑体" w:hAnsi="黑体" w:eastAsia="黑体" w:cs="黑体"/>
          <w:color w:val="000000"/>
        </w:rPr>
        <w:t>5  样本采集前准备</w:t>
      </w:r>
      <w:bookmarkEnd w:id="25"/>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5.1 受检者准备与信息记录</w:t>
      </w:r>
    </w:p>
    <w:p>
      <w:pPr>
        <w:spacing w:line="360" w:lineRule="exact"/>
        <w:ind w:firstLine="420"/>
      </w:pPr>
      <w:r>
        <w:rPr>
          <w:rFonts w:hint="eastAsia" w:ascii="Times New Roman" w:hAnsi="Times New Roman" w:eastAsia="宋体"/>
        </w:rPr>
        <w:t>用于队列研究或多中心研究时，</w:t>
      </w:r>
      <w:r>
        <w:rPr>
          <w:rFonts w:ascii="Times New Roman" w:hAnsi="Times New Roman" w:eastAsia="宋体"/>
        </w:rPr>
        <w:t>宜在相对固定的时间段采血，并记录是否空腹、空腹时长、采血时间、体位、近期剧烈运动、饮食、药物、保健品、饮酒、吸烟、急性疾病状态及其他可能影响检测结果的信息。临床诊疗场景无法统一采血时间时，应在记录中完整注明相关情况，并在结果解释或统计分析中予以考虑。</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5.2 采血管与耗材准备</w:t>
      </w:r>
    </w:p>
    <w:p>
      <w:pPr>
        <w:pStyle w:val="24"/>
        <w:tabs>
          <w:tab w:val="center" w:pos="4201"/>
          <w:tab w:val="right" w:leader="dot" w:pos="9298"/>
        </w:tabs>
        <w:spacing w:line="360" w:lineRule="exact"/>
        <w:ind w:firstLine="420"/>
        <w:rPr>
          <w:rFonts w:ascii="Times New Roman"/>
          <w:color w:val="000000"/>
        </w:rPr>
      </w:pPr>
      <w:r>
        <w:rPr>
          <w:rFonts w:hint="eastAsia" w:ascii="Times New Roman"/>
          <w:color w:val="000000"/>
        </w:rPr>
        <w:t>静脉血采集应符合WS/T 661—2020的规定。采血应使用K₂-EDTA抗凝管，分装应使用低吸附聚丙烯螺口冻存管。采血管及冻存管应检查有效期、批号和外观完整性，并确保密封性能良好。</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5.3 标识与编号</w:t>
      </w:r>
    </w:p>
    <w:p>
      <w:pPr>
        <w:spacing w:line="360" w:lineRule="exact"/>
        <w:ind w:firstLine="420"/>
      </w:pPr>
      <w:r>
        <w:rPr>
          <w:rFonts w:ascii="Times New Roman" w:hAnsi="Times New Roman" w:eastAsia="宋体"/>
        </w:rPr>
        <w:t>每份原始采血管和每支分装管均应使用唯一编号或条码进行标识。标识内容应至少包括样本编号、样本类型、分装序号和必要的项目代码</w:t>
      </w:r>
      <w:r>
        <w:rPr>
          <w:rFonts w:hint="eastAsia" w:ascii="Times New Roman" w:hAnsi="Times New Roman" w:eastAsia="宋体"/>
        </w:rPr>
        <w:t>。</w:t>
      </w:r>
      <w:r>
        <w:rPr>
          <w:rFonts w:ascii="Times New Roman" w:hAnsi="Times New Roman" w:eastAsia="宋体"/>
        </w:rPr>
        <w:t>采血前应完成受检者身份核对、采血管编号核对和记录表或电子系统准备。</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5.4 设备与记录准备</w:t>
      </w:r>
    </w:p>
    <w:p>
      <w:pPr>
        <w:spacing w:line="360" w:lineRule="exact"/>
        <w:ind w:firstLine="420"/>
      </w:pPr>
      <w:r>
        <w:rPr>
          <w:rFonts w:ascii="Times New Roman" w:hAnsi="Times New Roman" w:eastAsia="宋体"/>
        </w:rPr>
        <w:t>采血前应确认离心机、移液器、冷藏设备、−20 ℃保存设备、−80 ℃或更低温冻存设备、转运箱和温度记录装置处于可用状态。</w:t>
      </w:r>
    </w:p>
    <w:p>
      <w:pPr>
        <w:spacing w:line="360" w:lineRule="exact"/>
        <w:ind w:firstLine="420"/>
      </w:pPr>
      <w:r>
        <w:rPr>
          <w:rFonts w:ascii="Times New Roman" w:hAnsi="Times New Roman" w:eastAsia="宋体"/>
        </w:rPr>
        <w:t>应预先准备记录表或电子记录系统。记录内容应覆盖采血、混匀、放置、离心、血浆分离、分装、短期保存、运输、接收、入库、冻融和检测前核对全过程。</w:t>
      </w:r>
    </w:p>
    <w:p>
      <w:pPr>
        <w:pStyle w:val="24"/>
        <w:tabs>
          <w:tab w:val="center" w:pos="4201"/>
          <w:tab w:val="right" w:leader="dot" w:pos="9298"/>
        </w:tabs>
        <w:spacing w:before="240" w:beforeLines="100" w:after="240" w:afterLines="100" w:line="360" w:lineRule="exact"/>
        <w:ind w:firstLine="0" w:firstLineChars="0"/>
        <w:outlineLvl w:val="0"/>
        <w:rPr>
          <w:rFonts w:ascii="黑体" w:hAnsi="黑体" w:eastAsia="黑体" w:cs="黑体"/>
          <w:color w:val="000000"/>
        </w:rPr>
      </w:pPr>
      <w:bookmarkStart w:id="26" w:name="_Toc8745"/>
      <w:r>
        <w:rPr>
          <w:rFonts w:hint="eastAsia" w:ascii="黑体" w:hAnsi="黑体" w:eastAsia="黑体" w:cs="黑体"/>
          <w:color w:val="000000"/>
        </w:rPr>
        <w:t>6  样本采集</w:t>
      </w:r>
      <w:bookmarkEnd w:id="26"/>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6.1 采集部位与方式</w:t>
      </w:r>
    </w:p>
    <w:p>
      <w:pPr>
        <w:pStyle w:val="24"/>
        <w:tabs>
          <w:tab w:val="center" w:pos="4201"/>
          <w:tab w:val="right" w:leader="dot" w:pos="9298"/>
        </w:tabs>
        <w:spacing w:line="360" w:lineRule="exact"/>
        <w:ind w:firstLine="420"/>
        <w:rPr>
          <w:rFonts w:ascii="Times New Roman"/>
          <w:color w:val="000000"/>
        </w:rPr>
      </w:pPr>
      <w:r>
        <w:rPr>
          <w:rFonts w:hint="eastAsia" w:ascii="Times New Roman"/>
          <w:color w:val="000000"/>
        </w:rPr>
        <w:t>血液样本应采用静脉采血方式采集，宜选择上肢肘前区静脉。采血过程应避免反复穿刺、长时间止血带压迫、过度负压抽吸、针头过细或其他可能导致体外溶血的操作。</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6.2 采血操作</w:t>
      </w:r>
    </w:p>
    <w:p>
      <w:pPr>
        <w:pStyle w:val="24"/>
        <w:tabs>
          <w:tab w:val="center" w:pos="4201"/>
          <w:tab w:val="right" w:leader="dot" w:pos="9298"/>
        </w:tabs>
        <w:spacing w:line="360" w:lineRule="exact"/>
        <w:ind w:firstLine="420"/>
        <w:rPr>
          <w:rFonts w:ascii="Times New Roman"/>
          <w:color w:val="000000"/>
        </w:rPr>
      </w:pPr>
      <w:r>
        <w:rPr>
          <w:rFonts w:hint="eastAsia" w:ascii="Times New Roman"/>
          <w:color w:val="000000"/>
        </w:rPr>
        <w:t>采血应按采血管标示容量采集至规定体积，避免采血量不足、过量采集或血液与抗凝剂比例不当。采血完成后应立即按制造商要求轻柔颠倒混匀，不得剧烈震荡、拍打或形成大量气泡。</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6.3 采血后初始检查</w:t>
      </w:r>
    </w:p>
    <w:p>
      <w:pPr>
        <w:pStyle w:val="24"/>
        <w:tabs>
          <w:tab w:val="center" w:pos="4201"/>
          <w:tab w:val="right" w:leader="dot" w:pos="9298"/>
        </w:tabs>
        <w:spacing w:line="360" w:lineRule="exact"/>
        <w:ind w:firstLine="420"/>
        <w:rPr>
          <w:rFonts w:ascii="Times New Roman"/>
          <w:color w:val="000000"/>
        </w:rPr>
      </w:pPr>
      <w:r>
        <w:rPr>
          <w:rFonts w:hint="eastAsia" w:ascii="Times New Roman"/>
          <w:color w:val="000000"/>
        </w:rPr>
        <w:t>采血后应检查采血管是否破损、漏液、凝块、明显溶血、脂血、乳糜、采血量不足或标识异常。出现上述问题时，不应作为合格样本进入常规检测流程；如因研究或临床特殊需要保留，应标识为偏差样本并记录原因。</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6.4 采血记录</w:t>
      </w:r>
    </w:p>
    <w:p>
      <w:pPr>
        <w:pStyle w:val="24"/>
        <w:tabs>
          <w:tab w:val="center" w:pos="4201"/>
          <w:tab w:val="right" w:leader="dot" w:pos="9298"/>
        </w:tabs>
        <w:spacing w:line="360" w:lineRule="exact"/>
        <w:ind w:firstLine="420"/>
        <w:rPr>
          <w:rFonts w:ascii="Times New Roman"/>
          <w:color w:val="000000"/>
        </w:rPr>
      </w:pPr>
      <w:r>
        <w:rPr>
          <w:rFonts w:hint="eastAsia" w:ascii="Times New Roman"/>
          <w:color w:val="000000"/>
        </w:rPr>
        <w:t>采血记录应至少包括受检者编号、采血日期和时间、采血人员、采血管类型和批号、采血量、采血部位或特殊采血方式、混匀情况、初始外观和异常情况。</w:t>
      </w:r>
    </w:p>
    <w:p>
      <w:pPr>
        <w:pStyle w:val="24"/>
        <w:tabs>
          <w:tab w:val="center" w:pos="4201"/>
          <w:tab w:val="right" w:leader="dot" w:pos="9298"/>
        </w:tabs>
        <w:spacing w:before="240" w:beforeLines="100" w:after="240" w:afterLines="100" w:line="360" w:lineRule="exact"/>
        <w:ind w:firstLine="0" w:firstLineChars="0"/>
        <w:outlineLvl w:val="0"/>
        <w:rPr>
          <w:rFonts w:ascii="黑体" w:hAnsi="黑体" w:eastAsia="黑体" w:cs="黑体"/>
          <w:color w:val="000000"/>
        </w:rPr>
      </w:pPr>
      <w:bookmarkStart w:id="27" w:name="_Toc13268"/>
      <w:r>
        <w:rPr>
          <w:rFonts w:hint="eastAsia" w:ascii="黑体" w:hAnsi="黑体" w:eastAsia="黑体" w:cs="黑体"/>
          <w:color w:val="000000"/>
        </w:rPr>
        <w:t>7  血样处理与离心</w:t>
      </w:r>
      <w:bookmarkEnd w:id="27"/>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7.1 放置条件</w:t>
      </w:r>
    </w:p>
    <w:p>
      <w:pPr>
        <w:pStyle w:val="24"/>
        <w:tabs>
          <w:tab w:val="center" w:pos="4201"/>
          <w:tab w:val="right" w:leader="dot" w:pos="9298"/>
        </w:tabs>
        <w:spacing w:line="360" w:lineRule="exact"/>
        <w:ind w:firstLine="420"/>
        <w:rPr>
          <w:rFonts w:ascii="Times New Roman"/>
          <w:b/>
          <w:bCs/>
          <w:color w:val="000000"/>
        </w:rPr>
      </w:pPr>
      <w:r>
        <w:rPr>
          <w:rFonts w:hint="eastAsia" w:ascii="Times New Roman"/>
          <w:color w:val="000000"/>
        </w:rPr>
        <w:t>未离心全血应保持管体直立，避免剧烈振荡、倒置存放、阳光直射、靠近热源或直接接触冰块。</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7.2 采血后至离心时间</w:t>
      </w:r>
    </w:p>
    <w:p>
      <w:pPr>
        <w:pStyle w:val="24"/>
        <w:tabs>
          <w:tab w:val="center" w:pos="4201"/>
          <w:tab w:val="right" w:leader="dot" w:pos="9298"/>
        </w:tabs>
        <w:spacing w:line="360" w:lineRule="exact"/>
        <w:ind w:firstLine="420" w:firstLineChars="0"/>
        <w:rPr>
          <w:rFonts w:ascii="Times New Roman"/>
          <w:color w:val="000000"/>
        </w:rPr>
      </w:pPr>
      <w:r>
        <w:rPr>
          <w:rFonts w:hint="eastAsia" w:ascii="Times New Roman"/>
          <w:color w:val="000000"/>
        </w:rPr>
        <w:t>采血后血样应尽快离心，从采血至冻存全过程宜在2 h内完成。无法按推荐流程处理时，未离心全血可暂时置于18 ℃～25 ℃条件，且采血后至离心时间不应超过4 h；如确需进一步延迟处理，应在采血后及时置于2 ℃～8 ℃冷藏条件下保存，并在7 h内完成离心。符合上述最长时限的样本可接收，但应记录其预处理偏离情况；超过上述时限的样本不应作为常规合格样本接收。确需接收时，应依据检测项目、检测平台及相应稳定性验证结果进行评估，并在检测结果中注明样本预处理偏离情况。</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7.3 转运至处理区</w:t>
      </w:r>
    </w:p>
    <w:p>
      <w:pPr>
        <w:spacing w:line="360" w:lineRule="exact"/>
        <w:ind w:firstLine="420"/>
      </w:pPr>
      <w:r>
        <w:rPr>
          <w:rFonts w:ascii="Times New Roman" w:hAnsi="Times New Roman" w:eastAsia="宋体"/>
        </w:rPr>
        <w:t>采血地点与处理地点不一致时，应使用符合生物安全要求的密闭转运容器尽快转运。转运容器应具有防泄漏、防破损、缓冲固定和温度维持能力。转运过程中应保持采血管直立，减少晃动和振荡。应记录转运起止时间、转运人员、温度条件和异常情况。</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7.4 离心操作</w:t>
      </w:r>
    </w:p>
    <w:p>
      <w:pPr>
        <w:pStyle w:val="24"/>
        <w:tabs>
          <w:tab w:val="center" w:pos="4201"/>
          <w:tab w:val="right" w:leader="dot" w:pos="9298"/>
        </w:tabs>
        <w:spacing w:line="360" w:lineRule="exact"/>
        <w:ind w:firstLine="420"/>
        <w:rPr>
          <w:rFonts w:ascii="Times New Roman"/>
          <w:color w:val="000000"/>
        </w:rPr>
      </w:pPr>
      <w:r>
        <w:rPr>
          <w:rFonts w:hint="eastAsia" w:ascii="Times New Roman"/>
          <w:color w:val="000000"/>
        </w:rPr>
        <w:t>血液标本的离心处理应符合WS/T 225—2024的规定。血液样本应在18 ℃～25 ℃条件下以2 000×g离心10 min，离心前应核对编号、采血时间、管状态并进行配平。离心异常应记录。宜使用水平转子离心机。若使用固定角转子，应适当调整离心时间或验证分离效果，确保血浆分离完全且白膜层未受扰动。</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7.5 离心后处理</w:t>
      </w:r>
    </w:p>
    <w:p>
      <w:pPr>
        <w:pStyle w:val="24"/>
        <w:tabs>
          <w:tab w:val="center" w:pos="4201"/>
          <w:tab w:val="right" w:leader="dot" w:pos="9298"/>
        </w:tabs>
        <w:spacing w:line="360" w:lineRule="exact"/>
        <w:ind w:firstLine="420"/>
        <w:rPr>
          <w:rFonts w:ascii="Times New Roman"/>
          <w:color w:val="000000"/>
        </w:rPr>
      </w:pPr>
      <w:r>
        <w:rPr>
          <w:rFonts w:hint="eastAsia" w:ascii="Times New Roman"/>
          <w:color w:val="000000"/>
        </w:rPr>
        <w:t>离心完成后应立即分离血浆，避免长时间停留导致温度变化或细胞成分影响血浆质量。</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7.6 离心记录</w:t>
      </w:r>
    </w:p>
    <w:p>
      <w:pPr>
        <w:pStyle w:val="24"/>
        <w:tabs>
          <w:tab w:val="center" w:pos="4201"/>
          <w:tab w:val="right" w:leader="dot" w:pos="9298"/>
        </w:tabs>
        <w:spacing w:line="360" w:lineRule="exact"/>
        <w:ind w:firstLine="420"/>
        <w:rPr>
          <w:rFonts w:ascii="Times New Roman"/>
          <w:color w:val="000000"/>
        </w:rPr>
      </w:pPr>
      <w:r>
        <w:rPr>
          <w:rFonts w:hint="eastAsia" w:ascii="Times New Roman"/>
          <w:color w:val="000000"/>
        </w:rPr>
        <w:t>离心记录应包含开始及结束时间、相对离心力、设备编号及操作者，偏离应单独记录。</w:t>
      </w:r>
    </w:p>
    <w:p>
      <w:pPr>
        <w:pStyle w:val="24"/>
        <w:tabs>
          <w:tab w:val="center" w:pos="4201"/>
          <w:tab w:val="right" w:leader="dot" w:pos="9298"/>
        </w:tabs>
        <w:spacing w:before="240" w:beforeLines="100" w:after="240" w:afterLines="100" w:line="360" w:lineRule="exact"/>
        <w:ind w:firstLine="0" w:firstLineChars="0"/>
        <w:outlineLvl w:val="0"/>
        <w:rPr>
          <w:rFonts w:ascii="黑体" w:hAnsi="黑体" w:eastAsia="黑体" w:cs="黑体"/>
          <w:color w:val="000000"/>
        </w:rPr>
      </w:pPr>
      <w:bookmarkStart w:id="28" w:name="_Toc291"/>
      <w:r>
        <w:rPr>
          <w:rFonts w:hint="eastAsia" w:ascii="黑体" w:hAnsi="黑体" w:eastAsia="黑体" w:cs="黑体"/>
          <w:color w:val="000000"/>
        </w:rPr>
        <w:t>8  血浆分离与分装</w:t>
      </w:r>
      <w:bookmarkEnd w:id="28"/>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8.1 分离时机与操作</w:t>
      </w:r>
    </w:p>
    <w:p>
      <w:pPr>
        <w:spacing w:line="360" w:lineRule="exact"/>
        <w:ind w:firstLine="420"/>
        <w:rPr>
          <w:rFonts w:ascii="Times New Roman" w:eastAsia="宋体"/>
          <w:color w:val="000000"/>
        </w:rPr>
      </w:pPr>
      <w:r>
        <w:rPr>
          <w:rFonts w:hint="eastAsia" w:ascii="Times New Roman"/>
          <w:color w:val="000000"/>
        </w:rPr>
        <w:t>离心完成后应立即分离血浆。</w:t>
      </w:r>
      <w:r>
        <w:rPr>
          <w:rFonts w:ascii="Times New Roman" w:hAnsi="Times New Roman" w:eastAsia="宋体"/>
        </w:rPr>
        <w:t>血浆分离应使用洁净、适宜的移液器或一次性转移吸管，轻柔吸取上层血浆，避免扰动白膜层和红细胞层。条件允许时，可保留靠近白膜层的底部约10%血浆不取，以降低细胞成分污染风险。</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8.2 分装容器与体积</w:t>
      </w:r>
    </w:p>
    <w:p>
      <w:pPr>
        <w:spacing w:line="360" w:lineRule="exact"/>
        <w:ind w:firstLine="420"/>
        <w:rPr>
          <w:rFonts w:ascii="Times New Roman" w:eastAsia="宋体"/>
          <w:color w:val="000000"/>
        </w:rPr>
      </w:pPr>
      <w:r>
        <w:rPr>
          <w:rFonts w:hint="eastAsia" w:ascii="Times New Roman"/>
          <w:color w:val="000000"/>
        </w:rPr>
        <w:t>血浆应分装至低吸附聚丙烯冻存管，</w:t>
      </w:r>
      <w:r>
        <w:rPr>
          <w:rFonts w:hint="eastAsia" w:ascii="Times New Roman" w:hAnsi="Times New Roman" w:eastAsia="宋体"/>
        </w:rPr>
        <w:t>每管分装体积宜为</w:t>
      </w:r>
      <w:r>
        <w:rPr>
          <w:rFonts w:ascii="Times New Roman" w:hAnsi="Times New Roman" w:eastAsia="宋体" w:cs="Times New Roman"/>
        </w:rPr>
        <w:t>250 μL～500 μL</w:t>
      </w:r>
      <w:r>
        <w:rPr>
          <w:rFonts w:hint="eastAsia" w:ascii="Times New Roman" w:hAnsi="Times New Roman" w:eastAsia="宋体"/>
        </w:rPr>
        <w:t>（单次检测用量）或</w:t>
      </w:r>
      <w:r>
        <w:rPr>
          <w:rFonts w:ascii="Times New Roman" w:hAnsi="Times New Roman" w:eastAsia="宋体" w:cs="Times New Roman"/>
        </w:rPr>
        <w:t>500 μL～1 000 μL</w:t>
      </w:r>
      <w:r>
        <w:rPr>
          <w:rFonts w:hint="eastAsia" w:ascii="Times New Roman" w:hAnsi="Times New Roman" w:eastAsia="宋体"/>
        </w:rPr>
        <w:t>（含复测及留样需求），同一检测项目或同一研究队列内应使用统一的分装体积。分装完成后应立即封盖并检查密封状态。</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8.3 分装记录</w:t>
      </w:r>
    </w:p>
    <w:p>
      <w:pPr>
        <w:spacing w:line="360" w:lineRule="exact"/>
        <w:ind w:firstLine="420"/>
      </w:pPr>
      <w:r>
        <w:rPr>
          <w:rFonts w:ascii="Times New Roman" w:hAnsi="Times New Roman" w:eastAsia="宋体"/>
        </w:rPr>
        <w:t>应记录分装开始和结束时间、分装管编号、分装数量、每管体积、操作者、血浆外观、溶血或脂血情况以及异常事件。</w:t>
      </w:r>
    </w:p>
    <w:p>
      <w:pPr>
        <w:pStyle w:val="24"/>
        <w:tabs>
          <w:tab w:val="center" w:pos="4201"/>
          <w:tab w:val="right" w:leader="dot" w:pos="9298"/>
        </w:tabs>
        <w:spacing w:before="240" w:beforeLines="100" w:after="240" w:afterLines="100" w:line="360" w:lineRule="exact"/>
        <w:ind w:firstLine="0" w:firstLineChars="0"/>
        <w:outlineLvl w:val="0"/>
        <w:rPr>
          <w:rFonts w:ascii="黑体" w:hAnsi="黑体" w:eastAsia="黑体" w:cs="黑体"/>
          <w:color w:val="000000"/>
        </w:rPr>
      </w:pPr>
      <w:bookmarkStart w:id="29" w:name="_Toc19059"/>
      <w:r>
        <w:rPr>
          <w:rFonts w:hint="eastAsia" w:ascii="黑体" w:hAnsi="黑体" w:eastAsia="黑体" w:cs="黑体"/>
          <w:color w:val="000000"/>
        </w:rPr>
        <w:t>9  短期保存与运输</w:t>
      </w:r>
      <w:bookmarkEnd w:id="29"/>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9.1 运输与临时保存要求</w:t>
      </w:r>
    </w:p>
    <w:p>
      <w:pPr>
        <w:pStyle w:val="24"/>
        <w:tabs>
          <w:tab w:val="center" w:pos="4201"/>
          <w:tab w:val="right" w:leader="dot" w:pos="9298"/>
        </w:tabs>
        <w:spacing w:line="360" w:lineRule="exact"/>
        <w:ind w:firstLine="420"/>
        <w:rPr>
          <w:rFonts w:ascii="Times New Roman"/>
          <w:color w:val="000000"/>
        </w:rPr>
      </w:pPr>
      <w:r>
        <w:rPr>
          <w:rFonts w:hint="eastAsia" w:ascii="Times New Roman"/>
          <w:color w:val="000000"/>
        </w:rPr>
        <w:t>a) 血浆分装完成后应尽快转运至实验室。特殊情况下采用冷藏运输时，应在2 ℃～8 ℃条件下运输，运输时间不应超过24 h。采用冷冻运输时，应在−20 ℃条件下保持样本冻结状态；采用干冰运输时，样本应置于足量干冰中并保持冻结状态。运输时间应依据拟检测标志物及检测方法的稳定性验证结果确定。运输包装应防泄漏并具有保温性能，运输过程中应进行温度监测。发生温度超限或样本解冻时，应记录偏离情况，并根据相应稳定性验证结果判定样本是否可接受。</w:t>
      </w:r>
    </w:p>
    <w:p>
      <w:pPr>
        <w:pStyle w:val="24"/>
        <w:tabs>
          <w:tab w:val="center" w:pos="4201"/>
          <w:tab w:val="right" w:leader="dot" w:pos="9298"/>
        </w:tabs>
        <w:spacing w:line="360" w:lineRule="exact"/>
        <w:ind w:firstLine="420"/>
        <w:rPr>
          <w:rFonts w:ascii="Times New Roman"/>
          <w:color w:val="000000"/>
        </w:rPr>
      </w:pPr>
      <w:r>
        <w:rPr>
          <w:rFonts w:hint="eastAsia" w:ascii="Times New Roman"/>
          <w:color w:val="000000"/>
        </w:rPr>
        <w:t>b) 受设备条件或转运条件限制时，样本可在−20 ℃条件下短期保存，并应保持冻结状态。Aβ42、Aβ40、Aβ42/Aβ40比值、p-tau181、p-tau217及p-tau217/Aβ42比值的血浆样本保存时间不应超过2周；采用其他标志物或检测方法时，保存期限应依据相应的稳定性验证结果确定。</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9.2 保存设备与摆放</w:t>
      </w:r>
    </w:p>
    <w:p>
      <w:pPr>
        <w:pStyle w:val="24"/>
        <w:tabs>
          <w:tab w:val="center" w:pos="4201"/>
          <w:tab w:val="right" w:leader="dot" w:pos="9298"/>
        </w:tabs>
        <w:spacing w:line="360" w:lineRule="exact"/>
        <w:ind w:firstLine="420"/>
        <w:rPr>
          <w:rFonts w:ascii="Times New Roman"/>
          <w:color w:val="000000"/>
        </w:rPr>
      </w:pPr>
      <w:r>
        <w:rPr>
          <w:rFonts w:hint="eastAsia" w:ascii="Times New Roman"/>
          <w:color w:val="000000"/>
        </w:rPr>
        <w:t>−20 ℃保存设备应稳定运行并具备温度监测。样本应按编号有序存放，避免倒置、挤压或频繁取放。</w:t>
      </w:r>
    </w:p>
    <w:p>
      <w:pPr>
        <w:pStyle w:val="24"/>
        <w:tabs>
          <w:tab w:val="center" w:pos="4201"/>
          <w:tab w:val="right" w:leader="dot" w:pos="9298"/>
        </w:tabs>
        <w:spacing w:before="240" w:beforeLines="100" w:after="240" w:afterLines="100" w:line="360" w:lineRule="exact"/>
        <w:ind w:firstLine="0" w:firstLineChars="0"/>
        <w:outlineLvl w:val="0"/>
        <w:rPr>
          <w:rFonts w:ascii="黑体" w:hAnsi="黑体" w:eastAsia="黑体" w:cs="黑体"/>
          <w:color w:val="000000"/>
        </w:rPr>
      </w:pPr>
      <w:bookmarkStart w:id="30" w:name="_Toc29238"/>
      <w:r>
        <w:rPr>
          <w:rFonts w:hint="eastAsia" w:ascii="黑体" w:hAnsi="黑体" w:eastAsia="黑体" w:cs="黑体"/>
          <w:color w:val="000000"/>
        </w:rPr>
        <w:t>10  实验室接收与长期冻存</w:t>
      </w:r>
      <w:bookmarkEnd w:id="30"/>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10.1 样本接收</w:t>
      </w:r>
    </w:p>
    <w:p>
      <w:pPr>
        <w:spacing w:line="360" w:lineRule="exact"/>
        <w:ind w:firstLine="420"/>
      </w:pPr>
      <w:r>
        <w:rPr>
          <w:rFonts w:ascii="Times New Roman" w:hAnsi="Times New Roman" w:eastAsia="宋体"/>
        </w:rPr>
        <w:t>实验室接收时应核对样本编号、样本类型、分装数量、分装体积、运输记录、温度记录、包装完整性和送检信息。</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10.2 接收质量检查</w:t>
      </w:r>
    </w:p>
    <w:p>
      <w:pPr>
        <w:spacing w:line="360" w:lineRule="exact"/>
        <w:ind w:firstLine="420"/>
      </w:pPr>
      <w:r>
        <w:rPr>
          <w:rFonts w:ascii="Times New Roman" w:hAnsi="Times New Roman" w:eastAsia="宋体"/>
        </w:rPr>
        <w:t>应检查样本是否破损、泄漏、融化、标签脱落、标识不清、体积不足、明显溶血或存在其他异常。</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10.3 长期冻存</w:t>
      </w:r>
    </w:p>
    <w:p>
      <w:pPr>
        <w:spacing w:line="360" w:lineRule="exact"/>
        <w:ind w:firstLine="420"/>
        <w:rPr>
          <w:rFonts w:ascii="Times New Roman" w:eastAsia="宋体"/>
          <w:color w:val="000000"/>
        </w:rPr>
      </w:pPr>
      <w:r>
        <w:rPr>
          <w:rFonts w:hint="eastAsia" w:ascii="Times New Roman"/>
          <w:color w:val="000000"/>
        </w:rPr>
        <w:t>接收后应立即转存至−80 ℃保存，记录位置、入库时间及操作者。</w:t>
      </w:r>
      <w:r>
        <w:rPr>
          <w:rFonts w:ascii="Times New Roman" w:hAnsi="Times New Roman" w:eastAsia="宋体"/>
        </w:rPr>
        <w:t>样本应直立放置于冻存盒或样本架中，并按编号、项目、批次或研究队列有序管理。长期冻存设备应具备温度监测、报警、备用电源或应急转移方案。</w:t>
      </w:r>
    </w:p>
    <w:p>
      <w:pPr>
        <w:pStyle w:val="24"/>
        <w:tabs>
          <w:tab w:val="center" w:pos="4201"/>
          <w:tab w:val="right" w:leader="dot" w:pos="9298"/>
        </w:tabs>
        <w:spacing w:before="240" w:beforeLines="100" w:after="240" w:afterLines="100" w:line="360" w:lineRule="exact"/>
        <w:ind w:firstLine="0" w:firstLineChars="0"/>
        <w:outlineLvl w:val="0"/>
        <w:rPr>
          <w:rFonts w:ascii="黑体" w:hAnsi="黑体" w:eastAsia="黑体" w:cs="黑体"/>
          <w:color w:val="000000"/>
        </w:rPr>
      </w:pPr>
      <w:bookmarkStart w:id="31" w:name="_Toc27014"/>
      <w:r>
        <w:rPr>
          <w:rFonts w:hint="eastAsia" w:ascii="黑体" w:hAnsi="黑体" w:eastAsia="黑体" w:cs="黑体"/>
          <w:color w:val="000000"/>
        </w:rPr>
        <w:t>11  冻融控制</w:t>
      </w:r>
      <w:bookmarkEnd w:id="31"/>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11.1 原则与定义</w:t>
      </w:r>
    </w:p>
    <w:p>
      <w:pPr>
        <w:pStyle w:val="24"/>
        <w:tabs>
          <w:tab w:val="center" w:pos="4201"/>
          <w:tab w:val="right" w:leader="dot" w:pos="9298"/>
        </w:tabs>
        <w:spacing w:line="360" w:lineRule="exact"/>
        <w:ind w:firstLine="420"/>
        <w:rPr>
          <w:rFonts w:ascii="Times New Roman"/>
          <w:color w:val="000000"/>
        </w:rPr>
      </w:pPr>
      <w:r>
        <w:rPr>
          <w:rFonts w:hint="eastAsia" w:ascii="Times New Roman"/>
          <w:color w:val="000000"/>
        </w:rPr>
        <w:t>血浆样本应避免反复冻融。每份样本冻融次数宜控制在2次以内；如因复测、质控或研究需要超过2次，应结合检测项目、检测平台和方法学验证结果评估后使用，并标记为偏离样本。冻融次数应记录并纳入检测前质量评估。</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11.2 冻融记录</w:t>
      </w:r>
    </w:p>
    <w:p>
      <w:pPr>
        <w:pStyle w:val="24"/>
        <w:tabs>
          <w:tab w:val="center" w:pos="4201"/>
          <w:tab w:val="right" w:leader="dot" w:pos="9298"/>
        </w:tabs>
        <w:spacing w:line="360" w:lineRule="exact"/>
        <w:ind w:firstLine="420"/>
        <w:rPr>
          <w:rFonts w:ascii="Times New Roman"/>
          <w:color w:val="000000"/>
        </w:rPr>
      </w:pPr>
      <w:r>
        <w:rPr>
          <w:rFonts w:hint="eastAsia" w:ascii="Times New Roman"/>
          <w:color w:val="000000"/>
        </w:rPr>
        <w:t>应记录样本编号、冻融次数、时间及操作人员。冻融次数应纳入质量评价和检测前审核。</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11.3 融化操作与检查</w:t>
      </w:r>
    </w:p>
    <w:p>
      <w:pPr>
        <w:pStyle w:val="24"/>
        <w:tabs>
          <w:tab w:val="center" w:pos="4201"/>
          <w:tab w:val="right" w:leader="dot" w:pos="9298"/>
        </w:tabs>
        <w:spacing w:line="360" w:lineRule="exact"/>
        <w:ind w:firstLine="420"/>
        <w:rPr>
          <w:rFonts w:ascii="Times New Roman"/>
          <w:color w:val="000000"/>
        </w:rPr>
      </w:pPr>
      <w:r>
        <w:rPr>
          <w:rFonts w:hint="eastAsia" w:ascii="Times New Roman"/>
          <w:color w:val="000000"/>
        </w:rPr>
        <w:t>融化过程中保持密闭，轻柔混匀。冻融后检查外观，异常样本应记录并评估影响。</w:t>
      </w:r>
    </w:p>
    <w:p>
      <w:pPr>
        <w:pStyle w:val="24"/>
        <w:tabs>
          <w:tab w:val="center" w:pos="4201"/>
          <w:tab w:val="right" w:leader="dot" w:pos="9298"/>
        </w:tabs>
        <w:spacing w:before="240" w:beforeLines="100" w:after="240" w:afterLines="100" w:line="360" w:lineRule="exact"/>
        <w:ind w:firstLine="0" w:firstLineChars="0"/>
        <w:outlineLvl w:val="0"/>
        <w:rPr>
          <w:rFonts w:ascii="黑体" w:hAnsi="黑体" w:eastAsia="黑体" w:cs="黑体"/>
          <w:color w:val="000000"/>
        </w:rPr>
      </w:pPr>
      <w:bookmarkStart w:id="32" w:name="_Toc2748"/>
      <w:r>
        <w:rPr>
          <w:rFonts w:hint="eastAsia" w:ascii="黑体" w:hAnsi="黑体" w:eastAsia="黑体" w:cs="黑体"/>
          <w:color w:val="000000"/>
        </w:rPr>
        <w:t>12  样本质量控制与偏差管理</w:t>
      </w:r>
      <w:bookmarkEnd w:id="32"/>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12.1 质控原则</w:t>
      </w:r>
    </w:p>
    <w:p>
      <w:pPr>
        <w:spacing w:line="360" w:lineRule="exact"/>
        <w:ind w:firstLine="420"/>
      </w:pPr>
      <w:r>
        <w:rPr>
          <w:rFonts w:ascii="Times New Roman" w:hAnsi="Times New Roman" w:eastAsia="宋体"/>
        </w:rPr>
        <w:t>样本质量控制应贯穿采集、混匀、放置、离心、分离、分装、保存、运输、接收、冻融和检测前核对全过程。各环节应有明确的合格标准、偏差标准和记录要求。同一检测项目或研究应统一采血管、分装管、移液耗材和关键设备；耗材批号、设备编号和变更情况应记录。</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12.2 溶血、脂血和凝块控制</w:t>
      </w:r>
    </w:p>
    <w:p>
      <w:pPr>
        <w:spacing w:line="360" w:lineRule="exact"/>
        <w:ind w:firstLine="420"/>
        <w:rPr>
          <w:rFonts w:ascii="宋体" w:hAnsi="宋体" w:eastAsia="宋体" w:cs="宋体"/>
        </w:rPr>
      </w:pPr>
      <w:r>
        <w:rPr>
          <w:rFonts w:hint="eastAsia" w:ascii="宋体" w:hAnsi="宋体" w:eastAsia="宋体" w:cs="宋体"/>
        </w:rPr>
        <w:t>应在采血后、离心后、分装前、接收时和检测前对样本外观进行检查。明显溶血、抗凝血样本出现凝块、重度脂血</w:t>
      </w:r>
      <w:r>
        <w:rPr>
          <w:rStyle w:val="18"/>
          <w:rFonts w:hint="eastAsia" w:ascii="宋体" w:hAnsi="宋体" w:eastAsia="宋体" w:cs="宋体"/>
          <w:szCs w:val="22"/>
        </w:rPr>
        <w:t>、乳糜血</w:t>
      </w:r>
      <w:r>
        <w:rPr>
          <w:rFonts w:hint="eastAsia" w:ascii="宋体" w:hAnsi="宋体" w:eastAsia="宋体" w:cs="宋体"/>
        </w:rPr>
        <w:t>或污染样本应作为偏差样本管理。是否可用于检测应结合检测项目、检测平台和质量评估结果确定。</w:t>
      </w:r>
    </w:p>
    <w:p>
      <w:pPr>
        <w:spacing w:line="360" w:lineRule="exact"/>
        <w:ind w:firstLine="420"/>
        <w:rPr>
          <w:rFonts w:ascii="宋体" w:hAnsi="宋体" w:eastAsia="宋体" w:cs="宋体"/>
        </w:rPr>
      </w:pPr>
      <w:r>
        <w:rPr>
          <w:rFonts w:hint="eastAsia" w:ascii="宋体" w:hAnsi="宋体" w:eastAsia="宋体" w:cs="宋体"/>
        </w:rPr>
        <w:t>a) 溶血样本应根据血浆外观、溶血指数或游离血红蛋白浓度进行分级评估。具备条件时，应优先采用仪器法或分光光度法进行定量判定；不具备定量条件时，可结合经验证的溶血比色卡进行初步判断。溶血程度分级及处理要求见附录A。</w:t>
      </w:r>
    </w:p>
    <w:p>
      <w:pPr>
        <w:spacing w:line="360" w:lineRule="exact"/>
        <w:ind w:firstLine="420"/>
        <w:rPr>
          <w:rFonts w:ascii="宋体" w:hAnsi="宋体" w:eastAsia="宋体" w:cs="宋体"/>
        </w:rPr>
      </w:pPr>
      <w:r>
        <w:rPr>
          <w:rFonts w:hint="eastAsia" w:ascii="宋体" w:hAnsi="宋体" w:eastAsia="宋体" w:cs="宋体"/>
        </w:rPr>
        <w:t>b) 不同检测平台、检测方法及不同生物标志物对溶血干扰的耐受程度可能存在差异。实验室应依据检测平台说明书、方法学验证资料、室内质量控制结果、室间质量评价或实验室间比对结果，建立本实验室适用的溶血样本接收、检测、结果报告和偏差管理规则。</w:t>
      </w:r>
    </w:p>
    <w:p>
      <w:pPr>
        <w:pStyle w:val="24"/>
        <w:tabs>
          <w:tab w:val="center" w:pos="4201"/>
          <w:tab w:val="right" w:leader="dot" w:pos="9298"/>
        </w:tabs>
        <w:spacing w:line="360" w:lineRule="exact"/>
        <w:ind w:firstLine="420" w:firstLineChars="0"/>
        <w:rPr>
          <w:rFonts w:hAnsi="宋体" w:cs="宋体"/>
        </w:rPr>
      </w:pPr>
      <w:r>
        <w:rPr>
          <w:rFonts w:hint="eastAsia" w:hAnsi="宋体" w:cs="宋体"/>
        </w:rPr>
        <w:t>c) 乳糜血可根据血浆肉眼可见明显浑浊，或离心、静置后血浆中出现乳白色脂质样物质进行初步判断；具备条件时，宜结合脂血指数、甘油三酯水平、检测平台说明书或方法学干扰阈值进行评估。对乳糜血或重度脂血样本，宜根据检测项目和样本可替代性，优先重新采血或按照经验证的去脂处理流程处理；无法重新采血且样本具有不可替代性时，可采用超速离心或高速离心去脂处理，或更换受脂血干扰较小的检测方法/平台。处理方式、处理前后样本状态及其对结果解释的影响应记录，并在必要时于报告中注明。</w:t>
      </w:r>
    </w:p>
    <w:p>
      <w:pPr>
        <w:pStyle w:val="24"/>
        <w:tabs>
          <w:tab w:val="center" w:pos="4201"/>
          <w:tab w:val="right" w:leader="dot" w:pos="9298"/>
        </w:tabs>
        <w:spacing w:before="120" w:beforeLines="50" w:after="120" w:afterLines="50" w:line="360" w:lineRule="exact"/>
        <w:ind w:firstLine="420"/>
        <w:rPr>
          <w:rFonts w:ascii="黑体" w:hAnsi="黑体" w:eastAsia="黑体" w:cs="黑体"/>
          <w:color w:val="000000"/>
        </w:rPr>
      </w:pPr>
      <w:r>
        <w:rPr>
          <w:rFonts w:hint="eastAsia" w:ascii="黑体" w:hAnsi="黑体" w:eastAsia="黑体" w:cs="黑体"/>
          <w:color w:val="000000"/>
        </w:rPr>
        <w:t>12.3 设备质控</w:t>
      </w:r>
    </w:p>
    <w:p>
      <w:pPr>
        <w:pStyle w:val="24"/>
        <w:tabs>
          <w:tab w:val="center" w:pos="4201"/>
          <w:tab w:val="right" w:leader="dot" w:pos="9298"/>
        </w:tabs>
        <w:spacing w:line="360" w:lineRule="exact"/>
        <w:ind w:firstLine="420"/>
        <w:rPr>
          <w:rFonts w:ascii="Times New Roman"/>
          <w:color w:val="000000"/>
        </w:rPr>
      </w:pPr>
      <w:r>
        <w:rPr>
          <w:rFonts w:hint="eastAsia" w:ascii="Times New Roman"/>
          <w:color w:val="000000"/>
        </w:rPr>
        <w:t>离心机、低温设备及温度监测设备应定期校准与维护。设备异常可能影响样本质量时，应启动偏差评估。</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12.4 内部质控样本</w:t>
      </w:r>
    </w:p>
    <w:p>
      <w:pPr>
        <w:pStyle w:val="24"/>
        <w:tabs>
          <w:tab w:val="center" w:pos="4201"/>
          <w:tab w:val="right" w:leader="dot" w:pos="9298"/>
        </w:tabs>
        <w:spacing w:line="360" w:lineRule="exact"/>
        <w:ind w:firstLine="420"/>
        <w:rPr>
          <w:rFonts w:ascii="Times New Roman"/>
          <w:color w:val="000000"/>
        </w:rPr>
      </w:pPr>
      <w:r>
        <w:rPr>
          <w:rFonts w:hint="eastAsia" w:ascii="Times New Roman"/>
          <w:color w:val="000000"/>
        </w:rPr>
        <w:t>实验室宜设置内部质控血浆样本，监控预处理及保存稳定性，与常规样本按一致条件管理。</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12.5 偏差管理</w:t>
      </w:r>
    </w:p>
    <w:p>
      <w:pPr>
        <w:pStyle w:val="24"/>
        <w:tabs>
          <w:tab w:val="center" w:pos="4201"/>
          <w:tab w:val="right" w:leader="dot" w:pos="9298"/>
        </w:tabs>
        <w:spacing w:line="360" w:lineRule="exact"/>
        <w:ind w:firstLine="420"/>
        <w:rPr>
          <w:rFonts w:ascii="Times New Roman"/>
          <w:color w:val="000000"/>
        </w:rPr>
      </w:pPr>
      <w:r>
        <w:rPr>
          <w:rFonts w:hint="eastAsia" w:ascii="Times New Roman"/>
          <w:color w:val="000000"/>
        </w:rPr>
        <w:t>采血、放置、离心、分装、保存、运输、接收和冻融过程发生偏离，应记录发生环节、原因、处理措施及对样本质量评估结果。</w:t>
      </w:r>
    </w:p>
    <w:p>
      <w:pPr>
        <w:pStyle w:val="24"/>
        <w:tabs>
          <w:tab w:val="center" w:pos="4201"/>
          <w:tab w:val="right" w:leader="dot" w:pos="9298"/>
        </w:tabs>
        <w:spacing w:before="240" w:beforeLines="100" w:after="240" w:afterLines="100" w:line="360" w:lineRule="exact"/>
        <w:ind w:firstLine="0" w:firstLineChars="0"/>
        <w:outlineLvl w:val="0"/>
        <w:rPr>
          <w:rFonts w:ascii="黑体" w:hAnsi="黑体" w:eastAsia="黑体" w:cs="黑体"/>
          <w:color w:val="000000"/>
        </w:rPr>
      </w:pPr>
      <w:bookmarkStart w:id="33" w:name="_Toc22738"/>
      <w:r>
        <w:rPr>
          <w:rFonts w:hint="eastAsia" w:ascii="黑体" w:hAnsi="黑体" w:eastAsia="黑体" w:cs="黑体"/>
          <w:color w:val="000000"/>
        </w:rPr>
        <w:t>13  信息记录与追溯管理</w:t>
      </w:r>
      <w:bookmarkEnd w:id="33"/>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13.1 样本编号</w:t>
      </w:r>
    </w:p>
    <w:p>
      <w:pPr>
        <w:pStyle w:val="24"/>
        <w:tabs>
          <w:tab w:val="center" w:pos="4201"/>
          <w:tab w:val="right" w:leader="dot" w:pos="9298"/>
        </w:tabs>
        <w:spacing w:line="360" w:lineRule="exact"/>
        <w:ind w:firstLine="420"/>
        <w:rPr>
          <w:rFonts w:ascii="Times New Roman"/>
          <w:color w:val="000000"/>
        </w:rPr>
      </w:pPr>
      <w:r>
        <w:rPr>
          <w:rFonts w:hint="eastAsia" w:ascii="Times New Roman"/>
          <w:color w:val="000000"/>
        </w:rPr>
        <w:t>每份样本应建立唯一编号，并贯穿采集、处理、运输、冻存及检测全过程。原始采血管、分装管和检测记录应保持对应关系。</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13.2 时间轴记录</w:t>
      </w:r>
    </w:p>
    <w:p>
      <w:pPr>
        <w:pStyle w:val="24"/>
        <w:tabs>
          <w:tab w:val="center" w:pos="4201"/>
          <w:tab w:val="right" w:leader="dot" w:pos="9298"/>
        </w:tabs>
        <w:spacing w:line="360" w:lineRule="exact"/>
        <w:ind w:firstLine="420"/>
        <w:rPr>
          <w:rFonts w:ascii="Times New Roman"/>
          <w:color w:val="000000"/>
        </w:rPr>
      </w:pPr>
      <w:r>
        <w:rPr>
          <w:rFonts w:hint="eastAsia" w:ascii="Times New Roman"/>
          <w:color w:val="000000"/>
        </w:rPr>
        <w:t>应建立完整时间轴，记录采血、离心、血浆分离、分装、短期保存、运输、实验室接收及长期冻存时间。</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13.3 温度与操作人员记录</w:t>
      </w:r>
    </w:p>
    <w:p>
      <w:pPr>
        <w:pStyle w:val="24"/>
        <w:tabs>
          <w:tab w:val="center" w:pos="4201"/>
          <w:tab w:val="right" w:leader="dot" w:pos="9298"/>
        </w:tabs>
        <w:spacing w:line="360" w:lineRule="exact"/>
        <w:ind w:firstLine="420"/>
        <w:rPr>
          <w:rFonts w:ascii="Times New Roman"/>
          <w:color w:val="000000"/>
        </w:rPr>
      </w:pPr>
      <w:r>
        <w:rPr>
          <w:rFonts w:hint="eastAsia" w:ascii="Times New Roman"/>
          <w:color w:val="000000"/>
        </w:rPr>
        <w:t>应记录关键温度信息及操作人员信息。发生温度异常或操作偏差时，应记录处理措施。</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13.4 异常事件与记录保存</w:t>
      </w:r>
    </w:p>
    <w:p>
      <w:pPr>
        <w:pStyle w:val="24"/>
        <w:tabs>
          <w:tab w:val="center" w:pos="4201"/>
          <w:tab w:val="right" w:leader="dot" w:pos="9298"/>
        </w:tabs>
        <w:spacing w:line="360" w:lineRule="exact"/>
        <w:ind w:firstLine="420"/>
        <w:rPr>
          <w:rFonts w:ascii="Times New Roman"/>
          <w:color w:val="000000"/>
        </w:rPr>
      </w:pPr>
      <w:r>
        <w:rPr>
          <w:rFonts w:hint="eastAsia" w:ascii="Times New Roman"/>
          <w:color w:val="000000"/>
        </w:rPr>
        <w:t>溶血、凝块、标签错误、样本量不足、破损、运输延迟、温度异常或设备故障应记录。纸质和电子记录应保持一致，确保复核和追溯。</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13.5 记录保存期限</w:t>
      </w:r>
    </w:p>
    <w:p>
      <w:pPr>
        <w:pStyle w:val="24"/>
        <w:tabs>
          <w:tab w:val="center" w:pos="4201"/>
          <w:tab w:val="right" w:leader="dot" w:pos="9298"/>
        </w:tabs>
        <w:spacing w:line="360" w:lineRule="exact"/>
        <w:ind w:firstLine="420"/>
        <w:rPr>
          <w:rFonts w:ascii="Times New Roman"/>
          <w:color w:val="000000"/>
        </w:rPr>
      </w:pPr>
      <w:r>
        <w:rPr>
          <w:rFonts w:hint="eastAsia" w:ascii="Times New Roman"/>
          <w:color w:val="000000"/>
        </w:rPr>
        <w:t>样本预处理、接收、保存、运输、冻融、质量控制、偏差管理及检测前核对等原始记录应按用途和管理要求保存。用于医学检验的记录保存期限应不少于2年；用于临床研究、多中心队列研究或注册研究的记录，应按研究方案、伦理审查要求、合同约定及相关法规要求保存。</w:t>
      </w:r>
    </w:p>
    <w:p>
      <w:pPr>
        <w:pStyle w:val="24"/>
        <w:tabs>
          <w:tab w:val="center" w:pos="4201"/>
          <w:tab w:val="right" w:leader="dot" w:pos="9298"/>
        </w:tabs>
        <w:spacing w:before="240" w:beforeLines="100" w:after="240" w:afterLines="100" w:line="360" w:lineRule="exact"/>
        <w:ind w:firstLine="0" w:firstLineChars="0"/>
        <w:outlineLvl w:val="0"/>
        <w:rPr>
          <w:rFonts w:ascii="黑体" w:hAnsi="黑体" w:eastAsia="黑体" w:cs="黑体"/>
          <w:color w:val="000000"/>
        </w:rPr>
      </w:pPr>
      <w:bookmarkStart w:id="34" w:name="_Toc17369"/>
      <w:r>
        <w:rPr>
          <w:rFonts w:hint="eastAsia" w:ascii="黑体" w:hAnsi="黑体" w:eastAsia="黑体" w:cs="黑体"/>
          <w:color w:val="000000"/>
        </w:rPr>
        <w:t>14  样本检测前管理</w:t>
      </w:r>
      <w:bookmarkEnd w:id="34"/>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14.1 检测前核对</w:t>
      </w:r>
    </w:p>
    <w:p>
      <w:pPr>
        <w:pStyle w:val="24"/>
        <w:tabs>
          <w:tab w:val="center" w:pos="4201"/>
          <w:tab w:val="right" w:leader="dot" w:pos="9298"/>
        </w:tabs>
        <w:spacing w:line="360" w:lineRule="exact"/>
        <w:ind w:firstLine="420"/>
        <w:rPr>
          <w:rFonts w:ascii="Times New Roman"/>
          <w:color w:val="000000"/>
        </w:rPr>
      </w:pPr>
      <w:r>
        <w:rPr>
          <w:rFonts w:hint="eastAsia" w:ascii="Times New Roman"/>
          <w:color w:val="000000"/>
        </w:rPr>
        <w:t>检测前应核对样本编号、样本类型、冻存位置、冻融次数、保存温度及外观；信息不完整时，应先完成质量评估。</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14.2 样本取用</w:t>
      </w:r>
    </w:p>
    <w:p>
      <w:pPr>
        <w:pStyle w:val="24"/>
        <w:tabs>
          <w:tab w:val="center" w:pos="4201"/>
          <w:tab w:val="right" w:leader="dot" w:pos="9298"/>
        </w:tabs>
        <w:spacing w:line="360" w:lineRule="exact"/>
        <w:ind w:firstLine="420"/>
        <w:rPr>
          <w:rFonts w:ascii="Times New Roman"/>
          <w:color w:val="000000"/>
        </w:rPr>
      </w:pPr>
      <w:r>
        <w:rPr>
          <w:rFonts w:hint="eastAsia" w:ascii="Times New Roman"/>
          <w:color w:val="000000"/>
        </w:rPr>
        <w:t>取用样本应遵循最小化暴露原则。未立即检测的样本应按规定条件保存，并记录取用与回存时间。</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14.3 批次管理</w:t>
      </w:r>
    </w:p>
    <w:p>
      <w:pPr>
        <w:pStyle w:val="24"/>
        <w:tabs>
          <w:tab w:val="center" w:pos="4201"/>
          <w:tab w:val="right" w:leader="dot" w:pos="9298"/>
        </w:tabs>
        <w:spacing w:line="360" w:lineRule="exact"/>
        <w:ind w:firstLine="420"/>
        <w:rPr>
          <w:rFonts w:ascii="Times New Roman"/>
          <w:color w:val="000000"/>
        </w:rPr>
      </w:pPr>
      <w:r>
        <w:rPr>
          <w:rFonts w:hint="eastAsia" w:ascii="Times New Roman"/>
          <w:color w:val="000000"/>
        </w:rPr>
        <w:t>同一检测项目的样本应采用统一的预处理流程进入检测，并应对应记录批次及质量控制信息，以减少非生物学因素的影响。</w:t>
      </w:r>
    </w:p>
    <w:p>
      <w:pPr>
        <w:pStyle w:val="24"/>
        <w:tabs>
          <w:tab w:val="center" w:pos="4201"/>
          <w:tab w:val="right" w:leader="dot" w:pos="9298"/>
        </w:tabs>
        <w:spacing w:before="240" w:beforeLines="100" w:after="240" w:afterLines="100" w:line="360" w:lineRule="exact"/>
        <w:ind w:firstLine="0" w:firstLineChars="0"/>
        <w:outlineLvl w:val="0"/>
        <w:rPr>
          <w:rFonts w:ascii="黑体" w:hAnsi="黑体" w:eastAsia="黑体" w:cs="黑体"/>
          <w:color w:val="000000"/>
        </w:rPr>
      </w:pPr>
      <w:bookmarkStart w:id="35" w:name="_Toc924"/>
      <w:r>
        <w:rPr>
          <w:rFonts w:hint="eastAsia" w:ascii="黑体" w:hAnsi="黑体" w:eastAsia="黑体" w:cs="黑体"/>
          <w:color w:val="000000"/>
        </w:rPr>
        <w:t>15  安全与生物防护要求</w:t>
      </w:r>
      <w:bookmarkEnd w:id="35"/>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15.1 生物安全</w:t>
      </w:r>
    </w:p>
    <w:p>
      <w:pPr>
        <w:spacing w:line="360" w:lineRule="exact"/>
        <w:ind w:firstLine="420"/>
      </w:pPr>
      <w:r>
        <w:rPr>
          <w:rFonts w:ascii="Times New Roman" w:hAnsi="Times New Roman" w:eastAsia="宋体"/>
        </w:rPr>
        <w:t>血液样本应按潜在感染性材料管理。采集、分装、运输、接收、冻存、检测前处理和废弃物处置应符合医疗机构和医学实验室生物安全管理要求。</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15.2 个人防护</w:t>
      </w:r>
    </w:p>
    <w:p>
      <w:pPr>
        <w:spacing w:line="360" w:lineRule="exact"/>
        <w:ind w:firstLine="420"/>
      </w:pPr>
      <w:r>
        <w:rPr>
          <w:rFonts w:ascii="Times New Roman" w:hAnsi="Times New Roman" w:eastAsia="宋体"/>
        </w:rPr>
        <w:t>操作人员应根据风险等级和操作环节佩戴手套、工作服、口罩、护目镜或面屏等个人防护用品</w:t>
      </w:r>
      <w:r>
        <w:rPr>
          <w:rFonts w:hint="eastAsia" w:ascii="Times New Roman" w:hAnsi="Times New Roman" w:eastAsia="宋体"/>
        </w:rPr>
        <w:t>，</w:t>
      </w:r>
      <w:r>
        <w:rPr>
          <w:rFonts w:ascii="Times New Roman" w:hAnsi="Times New Roman" w:eastAsia="宋体"/>
        </w:rPr>
        <w:t>必要时在生物安全柜内进行。</w:t>
      </w:r>
    </w:p>
    <w:p>
      <w:pPr>
        <w:pStyle w:val="24"/>
        <w:tabs>
          <w:tab w:val="center" w:pos="4201"/>
          <w:tab w:val="right" w:leader="dot" w:pos="9298"/>
        </w:tabs>
        <w:spacing w:before="120" w:beforeLines="50" w:after="120" w:afterLines="50" w:line="360" w:lineRule="exact"/>
        <w:ind w:firstLine="0" w:firstLineChars="0"/>
        <w:rPr>
          <w:rFonts w:ascii="黑体" w:hAnsi="黑体" w:eastAsia="黑体" w:cs="黑体"/>
          <w:color w:val="000000"/>
        </w:rPr>
      </w:pPr>
      <w:r>
        <w:rPr>
          <w:rFonts w:hint="eastAsia" w:ascii="黑体" w:hAnsi="黑体" w:eastAsia="黑体" w:cs="黑体"/>
          <w:color w:val="000000"/>
        </w:rPr>
        <w:t>15.3 废弃物处理</w:t>
      </w:r>
    </w:p>
    <w:p>
      <w:pPr>
        <w:pStyle w:val="24"/>
        <w:tabs>
          <w:tab w:val="left" w:pos="269"/>
          <w:tab w:val="right" w:leader="dot" w:pos="9298"/>
        </w:tabs>
        <w:spacing w:line="360" w:lineRule="exact"/>
        <w:ind w:firstLine="420"/>
        <w:rPr>
          <w:rFonts w:ascii="Times New Roman"/>
        </w:rPr>
      </w:pPr>
      <w:r>
        <w:rPr>
          <w:rFonts w:ascii="Times New Roman"/>
        </w:rPr>
        <w:t>采血针、采血管、移液器吸头、污染耗材和废弃样本应按医疗废物管理要求分类收集、暂存和处置，不得作为普通废弃物处理。</w:t>
      </w:r>
    </w:p>
    <w:p>
      <w:pPr>
        <w:pStyle w:val="24"/>
        <w:tabs>
          <w:tab w:val="left" w:pos="269"/>
          <w:tab w:val="right" w:leader="dot" w:pos="9298"/>
        </w:tabs>
        <w:spacing w:line="360" w:lineRule="exact"/>
        <w:ind w:firstLine="420"/>
        <w:rPr>
          <w:rFonts w:ascii="Times New Roman"/>
        </w:rPr>
      </w:pPr>
    </w:p>
    <w:p>
      <w:pPr>
        <w:pStyle w:val="24"/>
        <w:tabs>
          <w:tab w:val="left" w:pos="269"/>
          <w:tab w:val="right" w:leader="dot" w:pos="9298"/>
        </w:tabs>
        <w:spacing w:line="360" w:lineRule="exact"/>
        <w:ind w:firstLine="420"/>
        <w:rPr>
          <w:rFonts w:ascii="Times New Roman"/>
          <w:color w:val="000000"/>
        </w:rPr>
        <w:sectPr>
          <w:headerReference r:id="rId11" w:type="default"/>
          <w:footerReference r:id="rId12" w:type="default"/>
          <w:pgSz w:w="11906" w:h="16838"/>
          <w:pgMar w:top="1440" w:right="1797" w:bottom="1440" w:left="1797" w:header="851" w:footer="992" w:gutter="0"/>
          <w:pgNumType w:start="1"/>
          <w:cols w:space="425" w:num="1"/>
          <w:docGrid w:linePitch="312" w:charSpace="0"/>
        </w:sectPr>
      </w:pPr>
    </w:p>
    <w:p>
      <w:pPr>
        <w:pStyle w:val="24"/>
        <w:tabs>
          <w:tab w:val="left" w:pos="269"/>
          <w:tab w:val="right" w:leader="dot" w:pos="9298"/>
        </w:tabs>
        <w:spacing w:line="360" w:lineRule="exact"/>
        <w:ind w:firstLine="420"/>
        <w:rPr>
          <w:rFonts w:ascii="Times New Roman"/>
          <w:color w:val="000000"/>
        </w:rPr>
      </w:pPr>
    </w:p>
    <w:p>
      <w:pPr>
        <w:pStyle w:val="31"/>
        <w:spacing w:before="0" w:after="120"/>
        <w:rPr>
          <w:sz w:val="21"/>
          <w:szCs w:val="21"/>
        </w:rPr>
      </w:pPr>
      <w:bookmarkStart w:id="36" w:name="_Toc32702"/>
      <w:r>
        <w:rPr>
          <w:rFonts w:hint="eastAsia"/>
          <w:sz w:val="21"/>
          <w:szCs w:val="21"/>
        </w:rPr>
        <w:t>附 录 A</w:t>
      </w:r>
      <w:bookmarkEnd w:id="36"/>
    </w:p>
    <w:p>
      <w:pPr>
        <w:jc w:val="center"/>
        <w:rPr>
          <w:rFonts w:ascii="黑体" w:hAnsi="黑体" w:eastAsia="黑体" w:cs="Times New Roman"/>
          <w:kern w:val="0"/>
          <w:szCs w:val="21"/>
        </w:rPr>
      </w:pPr>
      <w:r>
        <w:rPr>
          <w:rFonts w:hint="eastAsia" w:ascii="黑体" w:hAnsi="黑体" w:eastAsia="黑体" w:cs="Times New Roman"/>
          <w:kern w:val="0"/>
          <w:szCs w:val="21"/>
        </w:rPr>
        <w:t>（</w:t>
      </w:r>
      <w:bookmarkStart w:id="37" w:name="_Hlk92788726"/>
      <w:r>
        <w:rPr>
          <w:rFonts w:hint="eastAsia" w:ascii="黑体" w:hAnsi="黑体" w:eastAsia="黑体" w:cs="Times New Roman"/>
          <w:kern w:val="0"/>
          <w:szCs w:val="21"/>
        </w:rPr>
        <w:t>规范性</w:t>
      </w:r>
      <w:bookmarkEnd w:id="37"/>
      <w:r>
        <w:rPr>
          <w:rFonts w:hint="eastAsia" w:ascii="黑体" w:hAnsi="黑体" w:eastAsia="黑体" w:cs="Times New Roman"/>
          <w:kern w:val="0"/>
          <w:szCs w:val="21"/>
        </w:rPr>
        <w:t>）</w:t>
      </w:r>
    </w:p>
    <w:p>
      <w:pPr>
        <w:jc w:val="center"/>
        <w:rPr>
          <w:rFonts w:ascii="黑体" w:hAnsi="黑体" w:eastAsia="黑体" w:cs="Times New Roman"/>
          <w:kern w:val="0"/>
          <w:szCs w:val="21"/>
        </w:rPr>
      </w:pPr>
      <w:r>
        <w:rPr>
          <w:rFonts w:hint="eastAsia" w:ascii="黑体" w:hAnsi="黑体" w:eastAsia="黑体" w:cs="Times New Roman"/>
          <w:kern w:val="0"/>
          <w:szCs w:val="21"/>
        </w:rPr>
        <w:t>溶血程度分级及处理要求表</w:t>
      </w:r>
    </w:p>
    <w:p>
      <w:pPr>
        <w:pStyle w:val="24"/>
        <w:tabs>
          <w:tab w:val="left" w:pos="269"/>
          <w:tab w:val="right" w:leader="dot" w:pos="9298"/>
        </w:tabs>
        <w:spacing w:line="360" w:lineRule="exact"/>
        <w:ind w:firstLine="420"/>
        <w:rPr>
          <w:rFonts w:ascii="Times New Roman"/>
          <w:color w:val="000000"/>
        </w:rPr>
      </w:pPr>
    </w:p>
    <w:p>
      <w:pPr>
        <w:pStyle w:val="24"/>
        <w:tabs>
          <w:tab w:val="left" w:pos="269"/>
          <w:tab w:val="right" w:leader="dot" w:pos="9298"/>
        </w:tabs>
        <w:spacing w:line="360" w:lineRule="exact"/>
        <w:ind w:firstLine="420"/>
        <w:rPr>
          <w:rFonts w:ascii="Times New Roman"/>
          <w:color w:val="000000"/>
        </w:rPr>
      </w:pPr>
    </w:p>
    <w:p>
      <w:pPr>
        <w:pStyle w:val="24"/>
        <w:tabs>
          <w:tab w:val="left" w:pos="269"/>
          <w:tab w:val="right" w:leader="dot" w:pos="9298"/>
        </w:tabs>
        <w:spacing w:line="360" w:lineRule="exact"/>
        <w:ind w:firstLine="420"/>
        <w:rPr>
          <w:rFonts w:ascii="Times New Roman"/>
          <w:color w:val="000000"/>
        </w:rPr>
      </w:pPr>
      <w:r>
        <w:rPr>
          <w:rFonts w:hint="eastAsia" w:ascii="Times New Roman"/>
          <w:color w:val="000000"/>
        </w:rPr>
        <w:t>表A.1规定了阿尔茨海默病血液生物标志物检测样本溶血程度分级、判定标准及处理要求。</w:t>
      </w:r>
    </w:p>
    <w:p>
      <w:pPr>
        <w:pStyle w:val="24"/>
        <w:tabs>
          <w:tab w:val="left" w:pos="269"/>
          <w:tab w:val="right" w:leader="dot" w:pos="9298"/>
        </w:tabs>
        <w:spacing w:line="360" w:lineRule="exact"/>
        <w:ind w:firstLine="420"/>
        <w:rPr>
          <w:rFonts w:ascii="Times New Roman"/>
          <w:color w:val="000000"/>
        </w:rPr>
      </w:pPr>
    </w:p>
    <w:p>
      <w:pPr>
        <w:pStyle w:val="7"/>
        <w:jc w:val="center"/>
        <w:rPr>
          <w:rFonts w:ascii="黑体" w:hAnsi="黑体" w:cs="黑体"/>
          <w:sz w:val="21"/>
          <w:szCs w:val="21"/>
        </w:rPr>
      </w:pPr>
      <w:r>
        <w:rPr>
          <w:rFonts w:hint="eastAsia" w:ascii="黑体" w:hAnsi="黑体" w:cs="黑体"/>
          <w:sz w:val="21"/>
          <w:szCs w:val="21"/>
        </w:rPr>
        <w:t>表A.1　溶血程度分级及处理要求</w:t>
      </w:r>
    </w:p>
    <w:tbl>
      <w:tblPr>
        <w:tblStyle w:val="19"/>
        <w:tblW w:w="8153" w:type="dxa"/>
        <w:jc w:val="center"/>
        <w:tblInd w:w="0" w:type="dxa"/>
        <w:tblLayout w:type="fixed"/>
        <w:tblCellMar>
          <w:top w:w="0" w:type="dxa"/>
          <w:left w:w="108" w:type="dxa"/>
          <w:bottom w:w="0" w:type="dxa"/>
          <w:right w:w="108" w:type="dxa"/>
        </w:tblCellMar>
      </w:tblPr>
      <w:tblGrid>
        <w:gridCol w:w="1228"/>
        <w:gridCol w:w="2695"/>
        <w:gridCol w:w="4230"/>
      </w:tblGrid>
      <w:tr>
        <w:tblPrEx>
          <w:tblLayout w:type="fixed"/>
          <w:tblCellMar>
            <w:top w:w="0" w:type="dxa"/>
            <w:left w:w="108" w:type="dxa"/>
            <w:bottom w:w="0" w:type="dxa"/>
            <w:right w:w="108" w:type="dxa"/>
          </w:tblCellMar>
        </w:tblPrEx>
        <w:trPr>
          <w:trHeight w:val="270" w:hRule="atLeast"/>
          <w:jc w:val="center"/>
        </w:trPr>
        <w:tc>
          <w:tcPr>
            <w:tcW w:w="122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溶血程度</w:t>
            </w:r>
          </w:p>
        </w:tc>
        <w:tc>
          <w:tcPr>
            <w:tcW w:w="2695"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判定标准</w:t>
            </w:r>
          </w:p>
        </w:tc>
        <w:tc>
          <w:tcPr>
            <w:tcW w:w="4230"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处理要求</w:t>
            </w:r>
          </w:p>
        </w:tc>
      </w:tr>
      <w:tr>
        <w:tblPrEx>
          <w:tblLayout w:type="fixed"/>
          <w:tblCellMar>
            <w:top w:w="0" w:type="dxa"/>
            <w:left w:w="108" w:type="dxa"/>
            <w:bottom w:w="0" w:type="dxa"/>
            <w:right w:w="108" w:type="dxa"/>
          </w:tblCellMar>
        </w:tblPrEx>
        <w:trPr>
          <w:trHeight w:val="1175" w:hRule="atLeast"/>
          <w:jc w:val="center"/>
        </w:trPr>
        <w:tc>
          <w:tcPr>
            <w:tcW w:w="122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轻度溶血</w:t>
            </w:r>
          </w:p>
        </w:tc>
        <w:tc>
          <w:tcPr>
            <w:tcW w:w="2695"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游离血红蛋白</w:t>
            </w:r>
            <w:r>
              <w:rPr>
                <w:rFonts w:ascii="宋体" w:hAnsi="宋体" w:eastAsia="宋体" w:cs="宋体"/>
                <w:color w:val="000000"/>
                <w:kern w:val="0"/>
                <w:sz w:val="18"/>
                <w:szCs w:val="18"/>
                <w:lang w:bidi="ar"/>
              </w:rPr>
              <w:t>＜0.5 g/L</w:t>
            </w:r>
          </w:p>
        </w:tc>
        <w:tc>
          <w:tcPr>
            <w:tcW w:w="4230"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可用于检测，但应在样本记录中注明溶血情况；用于结果报告时，宜根据检测平台要求备注样本状态。</w:t>
            </w:r>
          </w:p>
        </w:tc>
      </w:tr>
      <w:tr>
        <w:tblPrEx>
          <w:tblLayout w:type="fixed"/>
          <w:tblCellMar>
            <w:top w:w="0" w:type="dxa"/>
            <w:left w:w="108" w:type="dxa"/>
            <w:bottom w:w="0" w:type="dxa"/>
            <w:right w:w="108" w:type="dxa"/>
          </w:tblCellMar>
        </w:tblPrEx>
        <w:trPr>
          <w:trHeight w:val="1890" w:hRule="atLeast"/>
          <w:jc w:val="center"/>
        </w:trPr>
        <w:tc>
          <w:tcPr>
            <w:tcW w:w="122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中度溶血</w:t>
            </w:r>
          </w:p>
        </w:tc>
        <w:tc>
          <w:tcPr>
            <w:tcW w:w="2695"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游离血红蛋白</w:t>
            </w:r>
            <w:r>
              <w:rPr>
                <w:rFonts w:ascii="宋体" w:hAnsi="宋体" w:eastAsia="宋体" w:cs="宋体"/>
                <w:color w:val="000000"/>
                <w:kern w:val="0"/>
                <w:sz w:val="18"/>
                <w:szCs w:val="18"/>
                <w:lang w:bidi="ar"/>
              </w:rPr>
              <w:t>0.5 g/L～2.0 g/L</w:t>
            </w:r>
          </w:p>
        </w:tc>
        <w:tc>
          <w:tcPr>
            <w:tcW w:w="4230"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应结合检测项目、检测平台、方法学验证资料和质量评估结果确定是否使用。用于</w:t>
            </w:r>
            <w:r>
              <w:rPr>
                <w:rFonts w:ascii="宋体" w:hAnsi="宋体" w:eastAsia="宋体" w:cs="宋体"/>
                <w:color w:val="000000"/>
                <w:kern w:val="0"/>
                <w:sz w:val="18"/>
                <w:szCs w:val="18"/>
                <w:lang w:bidi="ar"/>
              </w:rPr>
              <w:t>Aβ42、Aβ40、Aβ42/Aβ40</w:t>
            </w:r>
            <w:r>
              <w:rPr>
                <w:rFonts w:hint="eastAsia" w:ascii="宋体" w:hAnsi="宋体" w:eastAsia="宋体" w:cs="宋体"/>
                <w:color w:val="000000"/>
                <w:kern w:val="0"/>
                <w:sz w:val="18"/>
                <w:szCs w:val="18"/>
                <w:lang w:bidi="ar"/>
              </w:rPr>
              <w:t>比值、</w:t>
            </w:r>
            <w:r>
              <w:rPr>
                <w:rFonts w:ascii="宋体" w:hAnsi="宋体" w:eastAsia="宋体" w:cs="宋体"/>
                <w:color w:val="000000"/>
                <w:kern w:val="0"/>
                <w:sz w:val="18"/>
                <w:szCs w:val="18"/>
                <w:lang w:bidi="ar"/>
              </w:rPr>
              <w:t>p</w:t>
            </w:r>
            <w:r>
              <w:rPr>
                <w:rFonts w:hint="eastAsia" w:ascii="宋体" w:hAnsi="宋体" w:eastAsia="宋体" w:cs="宋体"/>
                <w:color w:val="000000"/>
                <w:kern w:val="0"/>
                <w:sz w:val="18"/>
                <w:szCs w:val="18"/>
                <w:lang w:bidi="ar"/>
              </w:rPr>
              <w:t>-t</w:t>
            </w:r>
            <w:r>
              <w:rPr>
                <w:rFonts w:ascii="宋体" w:hAnsi="宋体" w:eastAsia="宋体" w:cs="宋体"/>
                <w:color w:val="000000"/>
                <w:kern w:val="0"/>
                <w:sz w:val="18"/>
                <w:szCs w:val="18"/>
                <w:lang w:bidi="ar"/>
              </w:rPr>
              <w:t>au217/Aβ42</w:t>
            </w:r>
            <w:r>
              <w:rPr>
                <w:rFonts w:hint="eastAsia" w:ascii="宋体" w:hAnsi="宋体" w:eastAsia="宋体" w:cs="宋体"/>
                <w:color w:val="000000"/>
                <w:kern w:val="0"/>
                <w:sz w:val="18"/>
                <w:szCs w:val="18"/>
                <w:lang w:bidi="ar"/>
              </w:rPr>
              <w:t>比值及</w:t>
            </w:r>
            <w:r>
              <w:rPr>
                <w:rFonts w:ascii="宋体" w:hAnsi="宋体" w:eastAsia="宋体" w:cs="宋体"/>
                <w:color w:val="000000"/>
                <w:kern w:val="0"/>
                <w:sz w:val="18"/>
                <w:szCs w:val="18"/>
                <w:lang w:bidi="ar"/>
              </w:rPr>
              <w:t>p</w:t>
            </w:r>
            <w:r>
              <w:rPr>
                <w:rFonts w:hint="eastAsia" w:ascii="宋体" w:hAnsi="宋体" w:eastAsia="宋体" w:cs="宋体"/>
                <w:color w:val="000000"/>
                <w:kern w:val="0"/>
                <w:sz w:val="18"/>
                <w:szCs w:val="18"/>
                <w:lang w:bidi="ar"/>
              </w:rPr>
              <w:t>-t</w:t>
            </w:r>
            <w:r>
              <w:rPr>
                <w:rFonts w:ascii="宋体" w:hAnsi="宋体" w:eastAsia="宋体" w:cs="宋体"/>
                <w:color w:val="000000"/>
                <w:kern w:val="0"/>
                <w:sz w:val="18"/>
                <w:szCs w:val="18"/>
                <w:lang w:bidi="ar"/>
              </w:rPr>
              <w:t>au181</w:t>
            </w:r>
            <w:r>
              <w:rPr>
                <w:rFonts w:hint="eastAsia" w:ascii="宋体" w:hAnsi="宋体" w:eastAsia="宋体" w:cs="宋体"/>
                <w:color w:val="000000"/>
                <w:kern w:val="0"/>
                <w:sz w:val="18"/>
                <w:szCs w:val="18"/>
                <w:lang w:bidi="ar"/>
              </w:rPr>
              <w:t>等检测时，游离血红蛋白</w:t>
            </w:r>
            <w:r>
              <w:rPr>
                <w:rFonts w:ascii="宋体" w:hAnsi="宋体" w:eastAsia="宋体" w:cs="宋体"/>
                <w:color w:val="000000"/>
                <w:kern w:val="0"/>
                <w:sz w:val="18"/>
                <w:szCs w:val="18"/>
                <w:lang w:bidi="ar"/>
              </w:rPr>
              <w:t>≥1.0 g/L</w:t>
            </w:r>
            <w:r>
              <w:rPr>
                <w:rFonts w:hint="eastAsia" w:ascii="宋体" w:hAnsi="宋体" w:eastAsia="宋体" w:cs="宋体"/>
                <w:color w:val="000000"/>
                <w:kern w:val="0"/>
                <w:sz w:val="18"/>
                <w:szCs w:val="18"/>
                <w:lang w:bidi="ar"/>
              </w:rPr>
              <w:t>的样本不宜作为常规合格样本使用；确需检测的，应作为偏差样本管理，并在记录或报告中注明。</w:t>
            </w:r>
          </w:p>
        </w:tc>
      </w:tr>
      <w:tr>
        <w:tblPrEx>
          <w:tblLayout w:type="fixed"/>
          <w:tblCellMar>
            <w:top w:w="0" w:type="dxa"/>
            <w:left w:w="108" w:type="dxa"/>
            <w:bottom w:w="0" w:type="dxa"/>
            <w:right w:w="108" w:type="dxa"/>
          </w:tblCellMar>
        </w:tblPrEx>
        <w:trPr>
          <w:trHeight w:val="2066" w:hRule="atLeast"/>
          <w:jc w:val="center"/>
        </w:trPr>
        <w:tc>
          <w:tcPr>
            <w:tcW w:w="122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重度溶血</w:t>
            </w:r>
          </w:p>
        </w:tc>
        <w:tc>
          <w:tcPr>
            <w:tcW w:w="2695"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游离血红蛋白</w:t>
            </w:r>
            <w:r>
              <w:rPr>
                <w:rFonts w:ascii="宋体" w:hAnsi="宋体" w:eastAsia="宋体" w:cs="宋体"/>
                <w:color w:val="000000"/>
                <w:kern w:val="0"/>
                <w:sz w:val="18"/>
                <w:szCs w:val="18"/>
                <w:lang w:bidi="ar"/>
              </w:rPr>
              <w:t>＞2.0 g/L</w:t>
            </w:r>
          </w:p>
        </w:tc>
        <w:tc>
          <w:tcPr>
            <w:tcW w:w="4230"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不应作为合格样本用于常规检测，宜重新采血；无法重新采血且样本具有不可替代性时，可限于探索性研究或方法学评价使用，并应明确标注溶血程度及其对结果解释的潜在影响。</w:t>
            </w:r>
          </w:p>
        </w:tc>
      </w:tr>
    </w:tbl>
    <w:p>
      <w:pPr>
        <w:pStyle w:val="24"/>
        <w:tabs>
          <w:tab w:val="left" w:pos="269"/>
          <w:tab w:val="right" w:leader="dot" w:pos="9298"/>
        </w:tabs>
        <w:spacing w:line="360" w:lineRule="exact"/>
        <w:ind w:firstLine="420"/>
        <w:rPr>
          <w:rFonts w:ascii="Times New Roman"/>
          <w:color w:val="000000"/>
        </w:rPr>
        <w:sectPr>
          <w:pgSz w:w="11906" w:h="16838"/>
          <w:pgMar w:top="1440" w:right="1797" w:bottom="1440" w:left="1797" w:header="851" w:footer="992" w:gutter="0"/>
          <w:cols w:space="425" w:num="1"/>
          <w:docGrid w:linePitch="312" w:charSpace="0"/>
        </w:sectPr>
      </w:pPr>
    </w:p>
    <w:bookmarkEnd w:id="20"/>
    <w:bookmarkEnd w:id="21"/>
    <w:p>
      <w:pPr>
        <w:snapToGrid w:val="0"/>
        <w:spacing w:line="360" w:lineRule="exact"/>
        <w:jc w:val="center"/>
        <w:outlineLvl w:val="0"/>
        <w:rPr>
          <w:rFonts w:ascii="黑体" w:hAnsi="黑体" w:eastAsia="黑体" w:cs="黑体"/>
          <w:b/>
          <w:bCs/>
          <w:szCs w:val="21"/>
        </w:rPr>
      </w:pPr>
      <w:bookmarkStart w:id="38" w:name="_Toc509933873"/>
      <w:bookmarkStart w:id="39" w:name="_Toc510534552"/>
      <w:bookmarkStart w:id="40" w:name="_Toc24390"/>
      <w:r>
        <w:rPr>
          <w:rFonts w:hint="eastAsia" w:ascii="黑体" w:hAnsi="黑体" w:eastAsia="黑体" w:cs="黑体"/>
          <w:b/>
          <w:bCs/>
          <w:szCs w:val="21"/>
        </w:rPr>
        <w:t>参 考 文 献</w:t>
      </w:r>
      <w:bookmarkEnd w:id="38"/>
      <w:bookmarkEnd w:id="39"/>
      <w:bookmarkEnd w:id="40"/>
    </w:p>
    <w:p>
      <w:pPr>
        <w:snapToGrid w:val="0"/>
        <w:spacing w:line="360" w:lineRule="exact"/>
        <w:outlineLvl w:val="0"/>
        <w:rPr>
          <w:b/>
          <w:bCs/>
        </w:rPr>
      </w:pPr>
    </w:p>
    <w:p>
      <w:pPr>
        <w:numPr>
          <w:ilvl w:val="0"/>
          <w:numId w:val="3"/>
        </w:numPr>
        <w:spacing w:line="360" w:lineRule="exact"/>
        <w:rPr>
          <w:rFonts w:ascii="宋体" w:hAnsi="宋体" w:eastAsia="宋体" w:cs="宋体"/>
        </w:rPr>
      </w:pPr>
      <w:r>
        <w:rPr>
          <w:rFonts w:hint="eastAsia" w:ascii="宋体" w:hAnsi="宋体" w:eastAsia="宋体" w:cs="宋体"/>
        </w:rPr>
        <w:t>中国中西医结合学会检验医学专业委员会. 临床检验样本转运及保存规范化专家共识[J]. 中华检验医学杂志, 2023, 46(3): 259-264.</w:t>
      </w:r>
    </w:p>
    <w:p>
      <w:pPr>
        <w:numPr>
          <w:ilvl w:val="0"/>
          <w:numId w:val="3"/>
        </w:numPr>
        <w:spacing w:line="360" w:lineRule="exact"/>
        <w:rPr>
          <w:rFonts w:ascii="宋体" w:hAnsi="宋体" w:eastAsia="宋体" w:cs="宋体"/>
        </w:rPr>
      </w:pPr>
      <w:r>
        <w:rPr>
          <w:rFonts w:hint="eastAsia" w:ascii="宋体" w:hAnsi="宋体" w:eastAsia="宋体" w:cs="宋体"/>
        </w:rPr>
        <w:t>国家神经系统疾病医疗质量控制中心神经内科质控工作组认知障碍疾病质控专病组. 阿尔茨海默病血液生物标志物检测前样本处理操作规范（2026版）[J]. 中华医学杂志, 2026, 106(25): 2568-2578.</w:t>
      </w:r>
    </w:p>
    <w:p>
      <w:pPr>
        <w:spacing w:line="360" w:lineRule="exact"/>
        <w:rPr>
          <w:rFonts w:ascii="宋体" w:hAnsi="宋体" w:eastAsia="宋体" w:cs="宋体"/>
        </w:rPr>
      </w:pPr>
      <w:r>
        <w:rPr>
          <w:rFonts w:hint="eastAsia" w:ascii="宋体" w:hAnsi="宋体" w:eastAsia="宋体" w:cs="宋体"/>
        </w:rPr>
        <w:t>[3] 国家卫生健康委能力建设和继续教育中心，中国神经科学学会，衰老标志物联合体，等. 阿尔茨海默病体液标志物临床应用中国指南（2024版）[J]. 中华医学杂志, 2024, 104(35): 3292-3306.</w:t>
      </w:r>
    </w:p>
    <w:p>
      <w:pPr>
        <w:spacing w:line="360" w:lineRule="exact"/>
        <w:rPr>
          <w:rFonts w:ascii="宋体" w:hAnsi="宋体" w:eastAsia="宋体" w:cs="宋体"/>
        </w:rPr>
      </w:pPr>
      <w:r>
        <w:rPr>
          <w:rFonts w:hint="eastAsia" w:ascii="宋体" w:hAnsi="宋体" w:eastAsia="宋体" w:cs="宋体"/>
        </w:rPr>
        <w:t>[4] 中华医学会检验医学分会. 不合格静脉血标本管理中国专家共识[J]. 中华检验医学杂志, 2020, 43(10): 956-963.</w:t>
      </w:r>
    </w:p>
    <w:p>
      <w:pPr>
        <w:wordWrap w:val="0"/>
        <w:spacing w:line="360" w:lineRule="exact"/>
        <w:jc w:val="left"/>
        <w:rPr>
          <w:rFonts w:ascii="宋体" w:hAnsi="宋体" w:eastAsia="宋体" w:cs="宋体"/>
        </w:rPr>
      </w:pPr>
      <w:r>
        <w:rPr>
          <w:rFonts w:hint="eastAsia" w:ascii="宋体" w:hAnsi="宋体" w:eastAsia="宋体" w:cs="宋体"/>
        </w:rPr>
        <w:t>[5] 卫生部. 关于印发《医疗机构临床实验室管理办法》的通知（卫医发〔2006〕73号，2020年修订）[通知]. 国家卫生健康委员会官网. https://www.nhc.gov.cn/wjw/gfxwj/200603/200fa862bc684a03a7061ce6b2f840c9.shtml</w:t>
      </w:r>
    </w:p>
    <w:p>
      <w:pPr>
        <w:spacing w:line="360" w:lineRule="exact"/>
        <w:rPr>
          <w:rFonts w:ascii="宋体" w:hAnsi="宋体" w:eastAsia="宋体" w:cs="宋体"/>
        </w:rPr>
      </w:pPr>
      <w:r>
        <w:rPr>
          <w:rFonts w:hint="eastAsia" w:ascii="宋体" w:hAnsi="宋体" w:eastAsia="宋体" w:cs="宋体"/>
        </w:rPr>
        <w:t>[6] Andreasson U, Perret-Liaudet A, van Waalwijk van Doorn L J C, et al. A practical guide to immunoassay method validation[J]. Frontiers in Neurology, 2015, 6:179.</w:t>
      </w:r>
    </w:p>
    <w:p>
      <w:pPr>
        <w:spacing w:line="360" w:lineRule="exact"/>
        <w:rPr>
          <w:rFonts w:ascii="宋体" w:hAnsi="宋体" w:eastAsia="宋体" w:cs="宋体"/>
        </w:rPr>
      </w:pPr>
      <w:r>
        <w:rPr>
          <w:rFonts w:hint="eastAsia" w:ascii="宋体" w:hAnsi="宋体" w:eastAsia="宋体" w:cs="宋体"/>
        </w:rPr>
        <w:t>[7] Zeng X, Chen Y, Sehrawat A, et al. Alzheimer blood biomarkers: practical guidelines for study design, sample collection, processing, biobanking, measurement and result reporting[J]. Molecular Neurodegeneration, 2024, 19:40.</w:t>
      </w:r>
    </w:p>
    <w:p>
      <w:pPr>
        <w:spacing w:line="360" w:lineRule="exact"/>
        <w:rPr>
          <w:rFonts w:ascii="宋体" w:hAnsi="宋体" w:eastAsia="宋体" w:cs="宋体"/>
        </w:rPr>
      </w:pPr>
      <w:r>
        <w:rPr>
          <w:rFonts w:hint="eastAsia" w:ascii="宋体" w:hAnsi="宋体" w:eastAsia="宋体" w:cs="宋体"/>
        </w:rPr>
        <w:t>[8] Palmqvist S, Whitson H E, Allen L A, et al. Alzheimer’s Association Clinical Practice Guideline on the use of blood-based biomarkers in the diagnostic workup of suspected Alzheimer’s disease within specialized care settings[J]. Alzheimer’s &amp; Dementia, 2025, 21:e70535.</w:t>
      </w:r>
    </w:p>
    <w:p>
      <w:pPr>
        <w:spacing w:line="360" w:lineRule="exact"/>
        <w:rPr>
          <w:rFonts w:ascii="宋体" w:hAnsi="宋体" w:eastAsia="宋体" w:cs="宋体"/>
        </w:rPr>
      </w:pPr>
      <w:r>
        <w:rPr>
          <w:rFonts w:hint="eastAsia" w:ascii="宋体" w:hAnsi="宋体" w:eastAsia="宋体" w:cs="宋体"/>
        </w:rPr>
        <w:t>[9] Verberk I M W, Misdorp E O, Koelewijn J, et al. Characterization of pre-analytical sample handling effects on a panel of Alzheimer’s disease-related blood-based biomarkers: results from the Standardization of Alzheimer’s Blood Biomarkers (SABB) working group[J]. Alzheimer’s &amp; Dementia, 2022, 18(8): 1484-1497.</w:t>
      </w:r>
    </w:p>
    <w:p>
      <w:pPr>
        <w:spacing w:line="360" w:lineRule="exact"/>
        <w:rPr>
          <w:rFonts w:ascii="宋体" w:hAnsi="宋体" w:eastAsia="宋体" w:cs="宋体"/>
        </w:rPr>
      </w:pPr>
      <w:r>
        <w:rPr>
          <w:rFonts w:hint="eastAsia" w:ascii="宋体" w:hAnsi="宋体" w:eastAsia="宋体" w:cs="宋体"/>
        </w:rPr>
        <w:t>[10] O’Bryant S E, Gupta V, Henriksen K, et al. Guidelines for the standardization of preanalytic variables for blood-based biomarker studies in Alzheimer’s disease research[J]. Alzheimer’s &amp; Dementia, 2015, 11(5): 549-560.</w:t>
      </w:r>
    </w:p>
    <w:p>
      <w:pPr>
        <w:spacing w:line="360" w:lineRule="exact"/>
        <w:rPr>
          <w:rFonts w:ascii="宋体" w:hAnsi="宋体" w:eastAsia="宋体" w:cs="宋体"/>
        </w:rPr>
      </w:pPr>
      <w:r>
        <w:rPr>
          <w:rFonts w:hint="eastAsia" w:ascii="宋体" w:hAnsi="宋体" w:eastAsia="宋体" w:cs="宋体"/>
        </w:rPr>
        <w:t>[11] Keshavan A, Heslegrave A, Zetterberg H, et al. Stability of blood-based biomarkers of Alzheimer's disease over multiple freeze-thaw cycles[J]. Alzheimer's &amp; Dementia: Diagnosis, Assessment &amp; Disease Monitoring, 2018, 10: 448-451.</w:t>
      </w:r>
    </w:p>
    <w:p>
      <w:pPr>
        <w:spacing w:line="360" w:lineRule="exact"/>
        <w:rPr>
          <w:rFonts w:ascii="宋体" w:hAnsi="宋体" w:eastAsia="宋体" w:cs="宋体"/>
        </w:rPr>
      </w:pPr>
      <w:r>
        <w:rPr>
          <w:rFonts w:hint="eastAsia" w:ascii="宋体" w:hAnsi="宋体" w:eastAsia="宋体" w:cs="宋体"/>
        </w:rPr>
        <w:t>[12] Verberk I M W, Gouda M, Antwi-Berko D, et al. Evidence-based standardized sample handling protocol for accurate blood-based Alzheimer’s disease biomarker measurement: Results and consensus of the Global Biomarker Standardization Consortium[J]. Alzheimer’s &amp; Dementia, 2025, 21:e70752.</w:t>
      </w:r>
    </w:p>
    <w:p>
      <w:pPr>
        <w:spacing w:line="360" w:lineRule="exact"/>
        <w:rPr>
          <w:rFonts w:hint="eastAsia" w:ascii="宋体" w:hAnsi="宋体" w:eastAsia="宋体" w:cs="宋体"/>
        </w:rPr>
      </w:pPr>
      <w:r>
        <w:rPr>
          <w:rFonts w:hint="eastAsia" w:ascii="宋体" w:hAnsi="宋体" w:eastAsia="宋体" w:cs="宋体"/>
        </w:rPr>
        <w:t>[13] Van Meter T E, Wilson E N, Elahi F, et al. Pre-analytical guidelines for blood and CSF Biomarkers 2025: Recommendations from the NACC ADRC Biofluid Biomarker Best Practices Workgroup[J]. Alzheimer’s &amp; Dementia, 2026, 22:e71252.</w:t>
      </w:r>
    </w:p>
    <w:p>
      <w:pPr>
        <w:spacing w:line="360" w:lineRule="exact"/>
        <w:rPr>
          <w:rFonts w:hint="eastAsia" w:ascii="宋体" w:hAnsi="宋体" w:eastAsia="宋体" w:cs="宋体"/>
        </w:rPr>
      </w:pPr>
    </w:p>
    <w:p>
      <w:pPr>
        <w:spacing w:line="360" w:lineRule="exact"/>
        <w:rPr>
          <w:rFonts w:hint="eastAsia" w:ascii="宋体" w:hAnsi="宋体" w:eastAsia="宋体" w:cs="宋体"/>
        </w:rPr>
      </w:pPr>
    </w:p>
    <w:p>
      <w:pPr>
        <w:spacing w:line="360" w:lineRule="exact"/>
        <w:rPr>
          <w:rFonts w:hint="eastAsia" w:ascii="宋体" w:hAnsi="宋体" w:eastAsia="宋体" w:cs="宋体"/>
        </w:rPr>
      </w:pPr>
    </w:p>
    <w:p>
      <w:pPr>
        <w:spacing w:line="360" w:lineRule="exact"/>
        <w:rPr>
          <w:rFonts w:hint="eastAsia" w:ascii="宋体" w:hAnsi="宋体" w:eastAsia="宋体" w:cs="宋体"/>
        </w:rPr>
      </w:pPr>
    </w:p>
    <w:p>
      <w:pPr>
        <w:spacing w:line="360" w:lineRule="exact"/>
        <w:rPr>
          <w:rFonts w:hint="eastAsia" w:ascii="宋体" w:hAnsi="宋体" w:eastAsia="宋体" w:cs="宋体"/>
        </w:rPr>
      </w:pPr>
      <w:bookmarkStart w:id="41" w:name="_GoBack"/>
      <w:bookmarkEnd w:id="41"/>
      <w:r>
        <w:rPr>
          <w:sz w:val="21"/>
        </w:rPr>
        <mc:AlternateContent>
          <mc:Choice Requires="wps">
            <w:drawing>
              <wp:anchor distT="0" distB="0" distL="114300" distR="114300" simplePos="0" relativeHeight="251658240" behindDoc="0" locked="0" layoutInCell="1" allowOverlap="1">
                <wp:simplePos x="0" y="0"/>
                <wp:positionH relativeFrom="column">
                  <wp:posOffset>864870</wp:posOffset>
                </wp:positionH>
                <wp:positionV relativeFrom="paragraph">
                  <wp:posOffset>382270</wp:posOffset>
                </wp:positionV>
                <wp:extent cx="2616200" cy="0"/>
                <wp:effectExtent l="0" t="0" r="0" b="0"/>
                <wp:wrapNone/>
                <wp:docPr id="3" name="直接连接符 3"/>
                <wp:cNvGraphicFramePr/>
                <a:graphic xmlns:a="http://schemas.openxmlformats.org/drawingml/2006/main">
                  <a:graphicData uri="http://schemas.microsoft.com/office/word/2010/wordprocessingShape">
                    <wps:wsp>
                      <wps:cNvCnPr/>
                      <wps:spPr>
                        <a:xfrm>
                          <a:off x="2005965" y="2896870"/>
                          <a:ext cx="2616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68.1pt;margin-top:30.1pt;height:0pt;width:206pt;z-index:251658240;mso-width-relative:page;mso-height-relative:page;" filled="f" stroked="t" coordsize="21600,21600" o:gfxdata="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EzDOSrVAAAACQEAAA8A&#10;AAAAAAAAAQAgAAAAIgAAAGRycy9kb3ducmV2LnhtbFBLAQIUABQAAAAIAIdO4kB72DOc4QEAAJED&#10;AAAOAAAAAAAAAAEAIAAAACQBAABkcnMvZTJvRG9jLnhtbFBLBQYAAAAABgAGAFkBAAB3BQAAAAA=&#10;">
                <v:fill on="f" focussize="0,0"/>
                <v:stroke color="#000000 [3200]" joinstyle="round"/>
                <v:imagedata o:title=""/>
                <o:lock v:ext="edit" aspectratio="f"/>
              </v:line>
            </w:pict>
          </mc:Fallback>
        </mc:AlternateContent>
      </w:r>
    </w:p>
    <w:sectPr>
      <w:pgSz w:w="11906" w:h="16838"/>
      <w:pgMar w:top="1440" w:right="1797" w:bottom="1440" w:left="1797"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20B0604020202020204"/>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FZXiaoBiaoSong-B05S">
    <w:altName w:val="宋体"/>
    <w:panose1 w:val="020B0604020202020204"/>
    <w:charset w:val="86"/>
    <w:family w:val="swiss"/>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20650" cy="30226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20650" cy="302260"/>
                      </a:xfrm>
                      <a:prstGeom prst="rect">
                        <a:avLst/>
                      </a:prstGeom>
                      <a:noFill/>
                      <a:ln>
                        <a:noFill/>
                      </a:ln>
                    </wps:spPr>
                    <wps:txbx>
                      <w:txbxContent>
                        <w:sdt>
                          <w:sdtPr>
                            <w:id w:val="147460210"/>
                          </w:sdtPr>
                          <w:sdtContent>
                            <w:p>
                              <w:pPr>
                                <w:pStyle w:val="10"/>
                                <w:jc w:val="right"/>
                              </w:pPr>
                              <w:r>
                                <w:fldChar w:fldCharType="begin"/>
                              </w:r>
                              <w:r>
                                <w:instrText xml:space="preserve">PAGE   \* MERGEFORMAT</w:instrText>
                              </w:r>
                              <w:r>
                                <w:fldChar w:fldCharType="separate"/>
                              </w:r>
                              <w:r>
                                <w:rPr>
                                  <w:lang w:val="zh-CN"/>
                                </w:rPr>
                                <w:t>I</w:t>
                              </w:r>
                              <w:r>
                                <w:fldChar w:fldCharType="end"/>
                              </w:r>
                            </w:p>
                          </w:sdtContent>
                        </w:sdt>
                        <w:p/>
                      </w:txbxContent>
                    </wps:txbx>
                    <wps:bodyPr wrap="none" lIns="0" tIns="0" rIns="0" bIns="0" anchor="t" anchorCtr="0" upright="1">
                      <a:spAutoFit/>
                    </wps:bodyPr>
                  </wps:wsp>
                </a:graphicData>
              </a:graphic>
            </wp:anchor>
          </w:drawing>
        </mc:Choice>
        <mc:Fallback>
          <w:pict>
            <v:shape id="文本框 2" o:spid="_x0000_s1026" o:spt="202" type="#_x0000_t202" style="position:absolute;left:0pt;margin-top:0pt;height:23.8pt;width:9.5pt;mso-position-horizontal:right;mso-position-horizontal-relative:margin;mso-wrap-style:none;z-index:251659264;mso-width-relative:page;mso-height-relative:page;" filled="f" stroked="f" coordsize="21600,21600" o:gfxdata="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EiDc5tAAAAADAQAADwAAAAAAAAABACAAAAAiAAAAZHJzL2Rvd25yZXYueG1sUEsBAhQAFAAA&#10;AAgAh07iQNVhsfi+AQAAYgMAAA4AAAAAAAAAAQAgAAAAHwEAAGRycy9lMm9Eb2MueG1sUEsFBgAA&#10;AAAGAAYAWQEAAE8FAAAAAA==&#10;">
              <v:fill on="f" focussize="0,0"/>
              <v:stroke on="f"/>
              <v:imagedata o:title=""/>
              <o:lock v:ext="edit" aspectratio="f"/>
              <v:textbox inset="0mm,0mm,0mm,0mm" style="mso-fit-shape-to-text:t;">
                <w:txbxContent>
                  <w:sdt>
                    <w:sdtPr>
                      <w:id w:val="147460210"/>
                    </w:sdtPr>
                    <w:sdtContent>
                      <w:p>
                        <w:pPr>
                          <w:pStyle w:val="10"/>
                          <w:jc w:val="right"/>
                        </w:pPr>
                        <w:r>
                          <w:fldChar w:fldCharType="begin"/>
                        </w:r>
                        <w:r>
                          <w:instrText xml:space="preserve">PAGE   \* MERGEFORMAT</w:instrText>
                        </w:r>
                        <w:r>
                          <w:fldChar w:fldCharType="separate"/>
                        </w:r>
                        <w:r>
                          <w:rPr>
                            <w:lang w:val="zh-CN"/>
                          </w:rPr>
                          <w:t>I</w:t>
                        </w:r>
                        <w:r>
                          <w:fldChar w:fldCharType="end"/>
                        </w:r>
                      </w:p>
                    </w:sdtContent>
                  </w:sdt>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20650" cy="30226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20650" cy="302260"/>
                      </a:xfrm>
                      <a:prstGeom prst="rect">
                        <a:avLst/>
                      </a:prstGeom>
                      <a:noFill/>
                      <a:ln>
                        <a:noFill/>
                      </a:ln>
                    </wps:spPr>
                    <wps:txbx>
                      <w:txbxContent>
                        <w:sdt>
                          <w:sdtPr>
                            <w:id w:val="147457546"/>
                          </w:sdtPr>
                          <w:sdtContent>
                            <w:p>
                              <w:pPr>
                                <w:pStyle w:val="10"/>
                                <w:jc w:val="right"/>
                              </w:pPr>
                              <w:r>
                                <w:fldChar w:fldCharType="begin"/>
                              </w:r>
                              <w:r>
                                <w:instrText xml:space="preserve">PAGE   \* MERGEFORMAT</w:instrText>
                              </w:r>
                              <w:r>
                                <w:fldChar w:fldCharType="separate"/>
                              </w:r>
                              <w:r>
                                <w:rPr>
                                  <w:lang w:val="zh-CN"/>
                                </w:rPr>
                                <w:t>1</w:t>
                              </w:r>
                              <w:r>
                                <w:fldChar w:fldCharType="end"/>
                              </w:r>
                            </w:p>
                          </w:sdtContent>
                        </w:sdt>
                        <w:p/>
                      </w:txbxContent>
                    </wps:txbx>
                    <wps:bodyPr wrap="none" lIns="0" tIns="0" rIns="0" bIns="0" anchor="t" anchorCtr="0" upright="1">
                      <a:spAutoFit/>
                    </wps:bodyPr>
                  </wps:wsp>
                </a:graphicData>
              </a:graphic>
            </wp:anchor>
          </w:drawing>
        </mc:Choice>
        <mc:Fallback>
          <w:pict>
            <v:shape id="文本框 1" o:spid="_x0000_s1026" o:spt="202" type="#_x0000_t202" style="position:absolute;left:0pt;margin-top:0pt;height:23.8pt;width:9.5pt;mso-position-horizontal:right;mso-position-horizontal-relative:margin;mso-wrap-style:none;z-index:251660288;mso-width-relative:page;mso-height-relative:page;" filled="f" stroked="f" coordsize="21600,21600" o:gfxdata="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EiDc5tAAAAADAQAADwAAAAAAAAABACAAAAAiAAAAZHJzL2Rvd25yZXYueG1sUEsBAhQAFAAA&#10;AAgAh07iQAIq8cG+AQAAYgMAAA4AAAAAAAAAAQAgAAAAHwEAAGRycy9lMm9Eb2MueG1sUEsFBgAA&#10;AAAGAAYAWQEAAE8FAAAAAA==&#10;">
              <v:fill on="f" focussize="0,0"/>
              <v:stroke on="f"/>
              <v:imagedata o:title=""/>
              <o:lock v:ext="edit" aspectratio="f"/>
              <v:textbox inset="0mm,0mm,0mm,0mm" style="mso-fit-shape-to-text:t;">
                <w:txbxContent>
                  <w:sdt>
                    <w:sdtPr>
                      <w:id w:val="147457546"/>
                    </w:sdtPr>
                    <w:sdtContent>
                      <w:p>
                        <w:pPr>
                          <w:pStyle w:val="10"/>
                          <w:jc w:val="right"/>
                        </w:pPr>
                        <w:r>
                          <w:fldChar w:fldCharType="begin"/>
                        </w:r>
                        <w:r>
                          <w:instrText xml:space="preserve">PAGE   \* MERGEFORMAT</w:instrText>
                        </w:r>
                        <w:r>
                          <w:fldChar w:fldCharType="separate"/>
                        </w:r>
                        <w:r>
                          <w:rPr>
                            <w:lang w:val="zh-CN"/>
                          </w:rPr>
                          <w:t>1</w:t>
                        </w:r>
                        <w:r>
                          <w:fldChar w:fldCharType="end"/>
                        </w:r>
                      </w:p>
                    </w:sdtContent>
                  </w:sdt>
                  <w:p/>
                </w:txbxContent>
              </v:textbox>
            </v:shape>
          </w:pict>
        </mc:Fallback>
      </mc:AlternateContent>
    </w:r>
    <w:r>
      <w:rPr>
        <w:rFonts w:hint="eastAsia"/>
      </w:rPr>
      <w:t>·</w:t>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jc w:val="right"/>
    </w:pPr>
    <w:r>
      <w:rPr>
        <w:rFonts w:ascii="黑体" w:hAnsi="黑体" w:eastAsia="黑体"/>
        <w:szCs w:val="21"/>
        <w:highlight w:val="yellow"/>
      </w:rPr>
      <w:t>T/</w:t>
    </w:r>
    <w:r>
      <w:rPr>
        <w:rFonts w:hint="eastAsia" w:ascii="黑体" w:hAnsi="黑体" w:eastAsia="黑体"/>
        <w:szCs w:val="21"/>
        <w:highlight w:val="yellow"/>
      </w:rPr>
      <w:t>BRA-CDCHE- BZ-202601030</w:t>
    </w:r>
  </w:p>
  <w:p>
    <w:pPr>
      <w:pStyle w:val="11"/>
      <w:wordWrap w:val="0"/>
      <w:jc w:val="right"/>
      <w:rPr>
        <w:rFonts w:ascii="黑体" w:hAnsi="黑体" w:eastAsia="黑体"/>
        <w:sz w:val="21"/>
        <w:szCs w:val="21"/>
        <w:highlight w:val="yellow"/>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tabs>
        <w:tab w:val="left" w:pos="11270"/>
      </w:tabs>
      <w:wordWrap w:val="0"/>
      <w:jc w:val="both"/>
      <w:rPr>
        <w:rFonts w:ascii="黑体" w:hAnsi="黑体" w:eastAsia="黑体"/>
        <w:sz w:val="21"/>
        <w:szCs w:val="21"/>
      </w:rPr>
    </w:pPr>
    <w:r>
      <w:rPr>
        <w:rFonts w:ascii="黑体" w:hAnsi="黑体" w:eastAsia="黑体"/>
        <w:sz w:val="21"/>
        <w:szCs w:val="21"/>
      </w:rPr>
      <w:tab/>
    </w:r>
    <w:r>
      <w:rPr>
        <w:rFonts w:ascii="黑体" w:hAnsi="黑体" w:eastAsia="黑体"/>
        <w:sz w:val="21"/>
        <w:szCs w:val="21"/>
      </w:rPr>
      <w:tab/>
    </w:r>
    <w:r>
      <w:rPr>
        <w:rFonts w:ascii="黑体" w:hAnsi="黑体" w:eastAsia="黑体"/>
        <w:sz w:val="21"/>
        <w:szCs w:val="21"/>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6DCE279"/>
    <w:multiLevelType w:val="singleLevel"/>
    <w:tmpl w:val="D6DCE279"/>
    <w:lvl w:ilvl="0" w:tentative="0">
      <w:start w:val="1"/>
      <w:numFmt w:val="decimal"/>
      <w:suff w:val="space"/>
      <w:lvlText w:val="[%1]"/>
      <w:lvlJc w:val="left"/>
    </w:lvl>
  </w:abstractNum>
  <w:abstractNum w:abstractNumId="1">
    <w:nsid w:val="1FC91163"/>
    <w:multiLevelType w:val="multilevel"/>
    <w:tmpl w:val="1FC91163"/>
    <w:lvl w:ilvl="0" w:tentative="0">
      <w:start w:val="1"/>
      <w:numFmt w:val="decimal"/>
      <w:pStyle w:val="30"/>
      <w:suff w:val="nothing"/>
      <w:lvlText w:val="%1　"/>
      <w:lvlJc w:val="left"/>
      <w:pPr>
        <w:ind w:left="0" w:firstLine="0"/>
      </w:pPr>
      <w:rPr>
        <w:rFonts w:hint="eastAsia" w:ascii="黑体" w:hAnsi="Times New Roman" w:eastAsia="黑体"/>
        <w:b w:val="0"/>
        <w:i w:val="0"/>
        <w:sz w:val="21"/>
        <w:szCs w:val="21"/>
      </w:rPr>
    </w:lvl>
    <w:lvl w:ilvl="1" w:tentative="0">
      <w:start w:val="1"/>
      <w:numFmt w:val="decimal"/>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14:shadow w14:blurRad="0" w14:dist="0" w14:dir="0" w14:sx="0" w14:sy="0" w14:kx="0" w14:ky="0" w14:algn="none">
          <w14:srgbClr w14:val="000000"/>
        </w14:shadow>
      </w:rPr>
    </w:lvl>
    <w:lvl w:ilvl="2" w:tentative="0">
      <w:start w:val="1"/>
      <w:numFmt w:val="decimal"/>
      <w:suff w:val="nothing"/>
      <w:lvlText w:val="%1.%2.%3　"/>
      <w:lvlJc w:val="left"/>
      <w:pPr>
        <w:ind w:left="284"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
    <w:nsid w:val="6CEA2025"/>
    <w:multiLevelType w:val="multilevel"/>
    <w:tmpl w:val="6CEA2025"/>
    <w:lvl w:ilvl="0" w:tentative="0">
      <w:start w:val="1"/>
      <w:numFmt w:val="none"/>
      <w:pStyle w:val="31"/>
      <w:suff w:val="nothing"/>
      <w:lvlText w:val="%1"/>
      <w:lvlJc w:val="left"/>
      <w:pPr>
        <w:ind w:left="0" w:firstLine="0"/>
      </w:pPr>
      <w:rPr>
        <w:rFonts w:hint="default" w:ascii="Times New Roman" w:hAnsi="Times New Roman"/>
        <w:b/>
        <w:i w:val="0"/>
        <w:sz w:val="21"/>
      </w:rPr>
    </w:lvl>
    <w:lvl w:ilvl="1" w:tentative="0">
      <w:start w:val="1"/>
      <w:numFmt w:val="decimal"/>
      <w:pStyle w:val="23"/>
      <w:suff w:val="nothing"/>
      <w:lvlText w:val="%1%2　"/>
      <w:lvlJc w:val="left"/>
      <w:pPr>
        <w:ind w:left="360" w:firstLine="0"/>
      </w:pPr>
      <w:rPr>
        <w:rFonts w:hint="eastAsia" w:ascii="黑体" w:hAnsi="Times New Roman" w:eastAsia="黑体"/>
        <w:b w:val="0"/>
        <w:i w:val="0"/>
        <w:sz w:val="21"/>
      </w:rPr>
    </w:lvl>
    <w:lvl w:ilvl="2" w:tentative="0">
      <w:start w:val="1"/>
      <w:numFmt w:val="decimal"/>
      <w:pStyle w:val="26"/>
      <w:suff w:val="nothing"/>
      <w:lvlText w:val="%1%2.%3　"/>
      <w:lvlJc w:val="left"/>
      <w:pPr>
        <w:ind w:left="0" w:firstLine="0"/>
      </w:pPr>
      <w:rPr>
        <w:rFonts w:hint="eastAsia" w:ascii="黑体" w:hAnsi="Times New Roman" w:eastAsia="黑体"/>
        <w:b w:val="0"/>
        <w:i w:val="0"/>
        <w:sz w:val="21"/>
      </w:rPr>
    </w:lvl>
    <w:lvl w:ilvl="3" w:tentative="0">
      <w:start w:val="1"/>
      <w:numFmt w:val="decimal"/>
      <w:pStyle w:val="29"/>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54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NhNzY0ZDkyN2IyZmI1YWM4NDI0YzMxNTczYjkxOGYifQ=="/>
  </w:docVars>
  <w:rsids>
    <w:rsidRoot w:val="00BC7831"/>
    <w:rsid w:val="00016417"/>
    <w:rsid w:val="00051519"/>
    <w:rsid w:val="00053659"/>
    <w:rsid w:val="00060D8E"/>
    <w:rsid w:val="00073DBE"/>
    <w:rsid w:val="00080D52"/>
    <w:rsid w:val="000833BF"/>
    <w:rsid w:val="00093926"/>
    <w:rsid w:val="000C29F0"/>
    <w:rsid w:val="000E0E04"/>
    <w:rsid w:val="000F1177"/>
    <w:rsid w:val="000F3546"/>
    <w:rsid w:val="00101828"/>
    <w:rsid w:val="001057F7"/>
    <w:rsid w:val="0010725D"/>
    <w:rsid w:val="001074B6"/>
    <w:rsid w:val="0011064A"/>
    <w:rsid w:val="00110943"/>
    <w:rsid w:val="00112E5C"/>
    <w:rsid w:val="00160984"/>
    <w:rsid w:val="00165E1D"/>
    <w:rsid w:val="001823BD"/>
    <w:rsid w:val="00184727"/>
    <w:rsid w:val="00195740"/>
    <w:rsid w:val="00195EBA"/>
    <w:rsid w:val="001A33E4"/>
    <w:rsid w:val="001C487F"/>
    <w:rsid w:val="001C5DF8"/>
    <w:rsid w:val="001E3CBE"/>
    <w:rsid w:val="00210EDC"/>
    <w:rsid w:val="00226F03"/>
    <w:rsid w:val="00227867"/>
    <w:rsid w:val="00240ECC"/>
    <w:rsid w:val="002568DB"/>
    <w:rsid w:val="002A3D14"/>
    <w:rsid w:val="002A716C"/>
    <w:rsid w:val="002B782A"/>
    <w:rsid w:val="002D1620"/>
    <w:rsid w:val="002E27BA"/>
    <w:rsid w:val="002F33B1"/>
    <w:rsid w:val="0034011E"/>
    <w:rsid w:val="003B4F8D"/>
    <w:rsid w:val="00403441"/>
    <w:rsid w:val="00404F4F"/>
    <w:rsid w:val="00413F82"/>
    <w:rsid w:val="00420F0D"/>
    <w:rsid w:val="00435258"/>
    <w:rsid w:val="0043594C"/>
    <w:rsid w:val="00437239"/>
    <w:rsid w:val="004415F3"/>
    <w:rsid w:val="00467DE9"/>
    <w:rsid w:val="004776E2"/>
    <w:rsid w:val="00487FD7"/>
    <w:rsid w:val="00497B3B"/>
    <w:rsid w:val="004D48BB"/>
    <w:rsid w:val="00514F56"/>
    <w:rsid w:val="0052424E"/>
    <w:rsid w:val="0056475B"/>
    <w:rsid w:val="005675F6"/>
    <w:rsid w:val="005A4262"/>
    <w:rsid w:val="005B63FD"/>
    <w:rsid w:val="005B757A"/>
    <w:rsid w:val="005C4D5C"/>
    <w:rsid w:val="005D1DF3"/>
    <w:rsid w:val="005D718A"/>
    <w:rsid w:val="005E4503"/>
    <w:rsid w:val="005F249D"/>
    <w:rsid w:val="005F72FB"/>
    <w:rsid w:val="00664A03"/>
    <w:rsid w:val="00670459"/>
    <w:rsid w:val="00673E36"/>
    <w:rsid w:val="00674D46"/>
    <w:rsid w:val="0068444E"/>
    <w:rsid w:val="00687204"/>
    <w:rsid w:val="00692CC5"/>
    <w:rsid w:val="006A54C4"/>
    <w:rsid w:val="006E4104"/>
    <w:rsid w:val="006E78C3"/>
    <w:rsid w:val="00754AD5"/>
    <w:rsid w:val="007558D6"/>
    <w:rsid w:val="0077703E"/>
    <w:rsid w:val="007A732B"/>
    <w:rsid w:val="007C7383"/>
    <w:rsid w:val="007D24E9"/>
    <w:rsid w:val="00826483"/>
    <w:rsid w:val="00862A07"/>
    <w:rsid w:val="008B1166"/>
    <w:rsid w:val="008D309F"/>
    <w:rsid w:val="008F7435"/>
    <w:rsid w:val="00902CC3"/>
    <w:rsid w:val="00931243"/>
    <w:rsid w:val="009401B9"/>
    <w:rsid w:val="00945D02"/>
    <w:rsid w:val="00970892"/>
    <w:rsid w:val="009807BE"/>
    <w:rsid w:val="00981EAB"/>
    <w:rsid w:val="00984ED3"/>
    <w:rsid w:val="00990F61"/>
    <w:rsid w:val="00993A8E"/>
    <w:rsid w:val="009C6235"/>
    <w:rsid w:val="00A14AD3"/>
    <w:rsid w:val="00A93EB2"/>
    <w:rsid w:val="00AB3E24"/>
    <w:rsid w:val="00AC469E"/>
    <w:rsid w:val="00AF4FBC"/>
    <w:rsid w:val="00B100E3"/>
    <w:rsid w:val="00B33CA9"/>
    <w:rsid w:val="00B35861"/>
    <w:rsid w:val="00B530B7"/>
    <w:rsid w:val="00B5365B"/>
    <w:rsid w:val="00B573EC"/>
    <w:rsid w:val="00B735F2"/>
    <w:rsid w:val="00BB49F7"/>
    <w:rsid w:val="00BC7831"/>
    <w:rsid w:val="00C31CF7"/>
    <w:rsid w:val="00C553DB"/>
    <w:rsid w:val="00C86BEC"/>
    <w:rsid w:val="00CA373C"/>
    <w:rsid w:val="00CD26B0"/>
    <w:rsid w:val="00D50A29"/>
    <w:rsid w:val="00D62642"/>
    <w:rsid w:val="00D70986"/>
    <w:rsid w:val="00D90C41"/>
    <w:rsid w:val="00DA744C"/>
    <w:rsid w:val="00DB3021"/>
    <w:rsid w:val="00DD1B1B"/>
    <w:rsid w:val="00DE1D6D"/>
    <w:rsid w:val="00DE222B"/>
    <w:rsid w:val="00E02A29"/>
    <w:rsid w:val="00E41710"/>
    <w:rsid w:val="00E463FE"/>
    <w:rsid w:val="00E60530"/>
    <w:rsid w:val="00E86133"/>
    <w:rsid w:val="00E91C18"/>
    <w:rsid w:val="00E91FFE"/>
    <w:rsid w:val="00EB1ACB"/>
    <w:rsid w:val="00EB2E65"/>
    <w:rsid w:val="00EC75D4"/>
    <w:rsid w:val="00EF27E0"/>
    <w:rsid w:val="00F024E8"/>
    <w:rsid w:val="00F10A24"/>
    <w:rsid w:val="00F27B39"/>
    <w:rsid w:val="00F51C34"/>
    <w:rsid w:val="00F55AE8"/>
    <w:rsid w:val="00F948F3"/>
    <w:rsid w:val="00FA111F"/>
    <w:rsid w:val="00FD0652"/>
    <w:rsid w:val="00FD741A"/>
    <w:rsid w:val="0147153B"/>
    <w:rsid w:val="01F36FCC"/>
    <w:rsid w:val="0227136C"/>
    <w:rsid w:val="02BA5D3C"/>
    <w:rsid w:val="038362C3"/>
    <w:rsid w:val="045A77D7"/>
    <w:rsid w:val="048B5E32"/>
    <w:rsid w:val="04BF3ADE"/>
    <w:rsid w:val="04F73278"/>
    <w:rsid w:val="050B287F"/>
    <w:rsid w:val="055E6E53"/>
    <w:rsid w:val="056D178C"/>
    <w:rsid w:val="05A30D0A"/>
    <w:rsid w:val="06135E8F"/>
    <w:rsid w:val="07634BF4"/>
    <w:rsid w:val="078B7CA7"/>
    <w:rsid w:val="08190FC5"/>
    <w:rsid w:val="08D12032"/>
    <w:rsid w:val="08EC0C19"/>
    <w:rsid w:val="091B525A"/>
    <w:rsid w:val="09420839"/>
    <w:rsid w:val="0A2368BD"/>
    <w:rsid w:val="0A454A85"/>
    <w:rsid w:val="0AF65D7F"/>
    <w:rsid w:val="0B1C3A38"/>
    <w:rsid w:val="0B1F52D6"/>
    <w:rsid w:val="0CB642E9"/>
    <w:rsid w:val="0D2A562A"/>
    <w:rsid w:val="0E2A204D"/>
    <w:rsid w:val="10262698"/>
    <w:rsid w:val="102D5D9F"/>
    <w:rsid w:val="10741C20"/>
    <w:rsid w:val="110D797F"/>
    <w:rsid w:val="12085529"/>
    <w:rsid w:val="12096398"/>
    <w:rsid w:val="12AA7B7B"/>
    <w:rsid w:val="14553B17"/>
    <w:rsid w:val="14FB646C"/>
    <w:rsid w:val="15602773"/>
    <w:rsid w:val="15CF16A7"/>
    <w:rsid w:val="15FD4466"/>
    <w:rsid w:val="15FD6214"/>
    <w:rsid w:val="165A3666"/>
    <w:rsid w:val="17233A58"/>
    <w:rsid w:val="18602A8A"/>
    <w:rsid w:val="187A1D9E"/>
    <w:rsid w:val="18DF6862"/>
    <w:rsid w:val="1A705206"/>
    <w:rsid w:val="1A847E25"/>
    <w:rsid w:val="1BDB2B53"/>
    <w:rsid w:val="1C646FED"/>
    <w:rsid w:val="1CC7757C"/>
    <w:rsid w:val="1CCE090A"/>
    <w:rsid w:val="1D1A3B4F"/>
    <w:rsid w:val="1D436C02"/>
    <w:rsid w:val="1E3E561C"/>
    <w:rsid w:val="1E5A5A62"/>
    <w:rsid w:val="1E965458"/>
    <w:rsid w:val="1ECA6EAF"/>
    <w:rsid w:val="1EE2244B"/>
    <w:rsid w:val="1F9E45C4"/>
    <w:rsid w:val="1FA45952"/>
    <w:rsid w:val="1FEB3581"/>
    <w:rsid w:val="1FFB37C4"/>
    <w:rsid w:val="20AA343C"/>
    <w:rsid w:val="20D96F19"/>
    <w:rsid w:val="21DC13D3"/>
    <w:rsid w:val="22682C67"/>
    <w:rsid w:val="22C81958"/>
    <w:rsid w:val="235A2EF8"/>
    <w:rsid w:val="2393640A"/>
    <w:rsid w:val="23CB16FF"/>
    <w:rsid w:val="246758CC"/>
    <w:rsid w:val="256839EE"/>
    <w:rsid w:val="26094761"/>
    <w:rsid w:val="2623053C"/>
    <w:rsid w:val="26F471BF"/>
    <w:rsid w:val="270F3FF9"/>
    <w:rsid w:val="27E56B08"/>
    <w:rsid w:val="27E606F5"/>
    <w:rsid w:val="28996C84"/>
    <w:rsid w:val="290F75E7"/>
    <w:rsid w:val="2B34402E"/>
    <w:rsid w:val="2BC2163A"/>
    <w:rsid w:val="2D5269EE"/>
    <w:rsid w:val="2DE65587"/>
    <w:rsid w:val="2DEC0BF0"/>
    <w:rsid w:val="2DF14458"/>
    <w:rsid w:val="2E497DF1"/>
    <w:rsid w:val="2E725599"/>
    <w:rsid w:val="2EB931C8"/>
    <w:rsid w:val="2F363704"/>
    <w:rsid w:val="300D4E4E"/>
    <w:rsid w:val="303566E4"/>
    <w:rsid w:val="303921A6"/>
    <w:rsid w:val="308E2433"/>
    <w:rsid w:val="30C61BCC"/>
    <w:rsid w:val="30C95219"/>
    <w:rsid w:val="30E16A06"/>
    <w:rsid w:val="31A014D2"/>
    <w:rsid w:val="31F31444"/>
    <w:rsid w:val="320C360F"/>
    <w:rsid w:val="32794A1C"/>
    <w:rsid w:val="32963A97"/>
    <w:rsid w:val="33266952"/>
    <w:rsid w:val="33770F5C"/>
    <w:rsid w:val="340A6274"/>
    <w:rsid w:val="344A48C2"/>
    <w:rsid w:val="34DD74E5"/>
    <w:rsid w:val="357240D1"/>
    <w:rsid w:val="363E3FB3"/>
    <w:rsid w:val="365D08DD"/>
    <w:rsid w:val="37A147F9"/>
    <w:rsid w:val="38710670"/>
    <w:rsid w:val="38975BFC"/>
    <w:rsid w:val="39ED01CA"/>
    <w:rsid w:val="3A7E52C6"/>
    <w:rsid w:val="3AC3717D"/>
    <w:rsid w:val="3BB77E88"/>
    <w:rsid w:val="3BBA0580"/>
    <w:rsid w:val="3C4147FD"/>
    <w:rsid w:val="3C776471"/>
    <w:rsid w:val="3CB054DF"/>
    <w:rsid w:val="3D1B6DFC"/>
    <w:rsid w:val="3D2959BD"/>
    <w:rsid w:val="3D8449A1"/>
    <w:rsid w:val="3DB334D8"/>
    <w:rsid w:val="3DE10046"/>
    <w:rsid w:val="3E495BEB"/>
    <w:rsid w:val="3EB56865"/>
    <w:rsid w:val="3EEC6CA2"/>
    <w:rsid w:val="40D95004"/>
    <w:rsid w:val="410B2946"/>
    <w:rsid w:val="41C77552"/>
    <w:rsid w:val="449C4CC6"/>
    <w:rsid w:val="458A0FC3"/>
    <w:rsid w:val="459C0CF6"/>
    <w:rsid w:val="45BE6EBE"/>
    <w:rsid w:val="45D109A0"/>
    <w:rsid w:val="46277305"/>
    <w:rsid w:val="466D2298"/>
    <w:rsid w:val="47B24801"/>
    <w:rsid w:val="48137BD7"/>
    <w:rsid w:val="48710218"/>
    <w:rsid w:val="48877A3B"/>
    <w:rsid w:val="48CD485D"/>
    <w:rsid w:val="490E5A67"/>
    <w:rsid w:val="49282FCC"/>
    <w:rsid w:val="49D767A1"/>
    <w:rsid w:val="49E36EF3"/>
    <w:rsid w:val="49F033BE"/>
    <w:rsid w:val="4AB50890"/>
    <w:rsid w:val="4B9C55AC"/>
    <w:rsid w:val="4BD411EA"/>
    <w:rsid w:val="4C1C493F"/>
    <w:rsid w:val="4C341C88"/>
    <w:rsid w:val="4CF80F08"/>
    <w:rsid w:val="4E121B55"/>
    <w:rsid w:val="4F271630"/>
    <w:rsid w:val="4F7A1C1A"/>
    <w:rsid w:val="4FB629B4"/>
    <w:rsid w:val="50781F86"/>
    <w:rsid w:val="51A74CAA"/>
    <w:rsid w:val="529A65BD"/>
    <w:rsid w:val="52FB52AE"/>
    <w:rsid w:val="53E775E0"/>
    <w:rsid w:val="54994852"/>
    <w:rsid w:val="556233C2"/>
    <w:rsid w:val="563A5BAB"/>
    <w:rsid w:val="569752EE"/>
    <w:rsid w:val="56EF6ED8"/>
    <w:rsid w:val="57A37CC2"/>
    <w:rsid w:val="58DD11B1"/>
    <w:rsid w:val="59097FF9"/>
    <w:rsid w:val="5A146C55"/>
    <w:rsid w:val="5A20384C"/>
    <w:rsid w:val="5B101B12"/>
    <w:rsid w:val="5B3F7F01"/>
    <w:rsid w:val="5C9D2F32"/>
    <w:rsid w:val="5D720862"/>
    <w:rsid w:val="5DB524FD"/>
    <w:rsid w:val="5E40626B"/>
    <w:rsid w:val="5E914090"/>
    <w:rsid w:val="5EF10947"/>
    <w:rsid w:val="5F117C07"/>
    <w:rsid w:val="5F5024DD"/>
    <w:rsid w:val="5F7206A6"/>
    <w:rsid w:val="6014175D"/>
    <w:rsid w:val="612E4AA0"/>
    <w:rsid w:val="61D2367E"/>
    <w:rsid w:val="621C0D9D"/>
    <w:rsid w:val="63021D41"/>
    <w:rsid w:val="643979E4"/>
    <w:rsid w:val="65B01F28"/>
    <w:rsid w:val="66B772E6"/>
    <w:rsid w:val="66DB2FD4"/>
    <w:rsid w:val="67177D85"/>
    <w:rsid w:val="67825B46"/>
    <w:rsid w:val="67E4235D"/>
    <w:rsid w:val="6809591F"/>
    <w:rsid w:val="68532865"/>
    <w:rsid w:val="68C31F72"/>
    <w:rsid w:val="68F91E38"/>
    <w:rsid w:val="69E77EE2"/>
    <w:rsid w:val="69EE1192"/>
    <w:rsid w:val="6A9516EC"/>
    <w:rsid w:val="6AC36259"/>
    <w:rsid w:val="6C53360D"/>
    <w:rsid w:val="6CEB1A97"/>
    <w:rsid w:val="6D747CDF"/>
    <w:rsid w:val="6E201C15"/>
    <w:rsid w:val="6EFA06B8"/>
    <w:rsid w:val="6F484F7F"/>
    <w:rsid w:val="6F5558EE"/>
    <w:rsid w:val="6FB52176"/>
    <w:rsid w:val="6FEF189F"/>
    <w:rsid w:val="70D50A94"/>
    <w:rsid w:val="70D77CC1"/>
    <w:rsid w:val="711F4406"/>
    <w:rsid w:val="719E532A"/>
    <w:rsid w:val="727B1B10"/>
    <w:rsid w:val="74454183"/>
    <w:rsid w:val="744E128A"/>
    <w:rsid w:val="7455768C"/>
    <w:rsid w:val="746F2FAE"/>
    <w:rsid w:val="74D07EF1"/>
    <w:rsid w:val="755F1275"/>
    <w:rsid w:val="75922EAF"/>
    <w:rsid w:val="75E023B5"/>
    <w:rsid w:val="75E33C54"/>
    <w:rsid w:val="76BD6E14"/>
    <w:rsid w:val="76EA1012"/>
    <w:rsid w:val="77A318EC"/>
    <w:rsid w:val="77F02658"/>
    <w:rsid w:val="7883527A"/>
    <w:rsid w:val="78AF606F"/>
    <w:rsid w:val="78C244A2"/>
    <w:rsid w:val="791B1956"/>
    <w:rsid w:val="791D122B"/>
    <w:rsid w:val="79711576"/>
    <w:rsid w:val="79E65AC0"/>
    <w:rsid w:val="79F93C56"/>
    <w:rsid w:val="7BD52290"/>
    <w:rsid w:val="7C5E4034"/>
    <w:rsid w:val="7DC861E9"/>
    <w:rsid w:val="7DFA8082"/>
    <w:rsid w:val="7E562072"/>
    <w:rsid w:val="7EAF501B"/>
    <w:rsid w:val="7ECD54A1"/>
    <w:rsid w:val="7FF52F01"/>
    <w:rsid w:val="BB33CD51"/>
    <w:rsid w:val="DE57167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9"/>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semiHidden/>
    <w:unhideWhenUsed/>
    <w:qFormat/>
    <w:uiPriority w:val="9"/>
    <w:pPr>
      <w:spacing w:beforeAutospacing="1" w:afterAutospacing="1"/>
      <w:jc w:val="left"/>
      <w:outlineLvl w:val="2"/>
    </w:pPr>
    <w:rPr>
      <w:rFonts w:hint="eastAsia" w:ascii="宋体" w:hAnsi="宋体" w:eastAsia="宋体" w:cs="Times New Roman"/>
      <w:b/>
      <w:bCs/>
      <w:kern w:val="0"/>
      <w:sz w:val="27"/>
      <w:szCs w:val="27"/>
    </w:rPr>
  </w:style>
  <w:style w:type="character" w:default="1" w:styleId="14">
    <w:name w:val="Default Paragraph Font"/>
    <w:semiHidden/>
    <w:unhideWhenUsed/>
    <w:uiPriority w:val="1"/>
  </w:style>
  <w:style w:type="table" w:default="1" w:styleId="19">
    <w:name w:val="Normal Table"/>
    <w:semiHidden/>
    <w:unhideWhenUsed/>
    <w:uiPriority w:val="99"/>
    <w:tblPr>
      <w:tblLayout w:type="fixed"/>
      <w:tblCellMar>
        <w:top w:w="0" w:type="dxa"/>
        <w:left w:w="108" w:type="dxa"/>
        <w:bottom w:w="0" w:type="dxa"/>
        <w:right w:w="108" w:type="dxa"/>
      </w:tblCellMar>
    </w:tblPr>
  </w:style>
  <w:style w:type="paragraph" w:styleId="5">
    <w:name w:val="annotation subject"/>
    <w:basedOn w:val="6"/>
    <w:next w:val="6"/>
    <w:link w:val="45"/>
    <w:semiHidden/>
    <w:unhideWhenUsed/>
    <w:qFormat/>
    <w:uiPriority w:val="99"/>
    <w:rPr>
      <w:b/>
      <w:bCs/>
    </w:rPr>
  </w:style>
  <w:style w:type="paragraph" w:styleId="6">
    <w:name w:val="annotation text"/>
    <w:basedOn w:val="1"/>
    <w:link w:val="44"/>
    <w:semiHidden/>
    <w:unhideWhenUsed/>
    <w:qFormat/>
    <w:uiPriority w:val="99"/>
    <w:pPr>
      <w:jc w:val="left"/>
    </w:pPr>
  </w:style>
  <w:style w:type="paragraph" w:styleId="7">
    <w:name w:val="caption"/>
    <w:basedOn w:val="1"/>
    <w:next w:val="1"/>
    <w:semiHidden/>
    <w:unhideWhenUsed/>
    <w:qFormat/>
    <w:uiPriority w:val="35"/>
    <w:rPr>
      <w:rFonts w:ascii="Arial" w:hAnsi="Arial" w:eastAsia="黑体"/>
      <w:sz w:val="20"/>
    </w:rPr>
  </w:style>
  <w:style w:type="paragraph" w:styleId="8">
    <w:name w:val="Body Text 3"/>
    <w:basedOn w:val="1"/>
    <w:link w:val="21"/>
    <w:qFormat/>
    <w:uiPriority w:val="0"/>
    <w:pPr>
      <w:widowControl/>
    </w:pPr>
    <w:rPr>
      <w:rFonts w:ascii="Times New Roman" w:hAnsi="Times New Roman" w:eastAsia="仿宋_GB2312" w:cs="Times New Roman"/>
      <w:kern w:val="0"/>
      <w:sz w:val="28"/>
      <w:szCs w:val="20"/>
    </w:rPr>
  </w:style>
  <w:style w:type="paragraph" w:styleId="9">
    <w:name w:val="Balloon Text"/>
    <w:basedOn w:val="1"/>
    <w:link w:val="37"/>
    <w:semiHidden/>
    <w:unhideWhenUsed/>
    <w:qFormat/>
    <w:uiPriority w:val="99"/>
    <w:rPr>
      <w:sz w:val="18"/>
      <w:szCs w:val="18"/>
    </w:rPr>
  </w:style>
  <w:style w:type="paragraph" w:styleId="10">
    <w:name w:val="footer"/>
    <w:basedOn w:val="1"/>
    <w:link w:val="34"/>
    <w:unhideWhenUsed/>
    <w:qFormat/>
    <w:uiPriority w:val="99"/>
    <w:pPr>
      <w:tabs>
        <w:tab w:val="center" w:pos="4153"/>
        <w:tab w:val="right" w:pos="8306"/>
      </w:tabs>
      <w:snapToGrid w:val="0"/>
      <w:jc w:val="left"/>
    </w:pPr>
    <w:rPr>
      <w:sz w:val="18"/>
      <w:szCs w:val="18"/>
    </w:rPr>
  </w:style>
  <w:style w:type="paragraph" w:styleId="11">
    <w:name w:val="header"/>
    <w:basedOn w:val="1"/>
    <w:link w:val="33"/>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styleId="12">
    <w:name w:val="toc 1"/>
    <w:next w:val="1"/>
    <w:qFormat/>
    <w:uiPriority w:val="39"/>
    <w:pPr>
      <w:widowControl w:val="0"/>
      <w:spacing w:before="240" w:after="120"/>
    </w:pPr>
    <w:rPr>
      <w:rFonts w:ascii="等线" w:hAnsi="Times New Roman" w:eastAsia="等线" w:cs="Times New Roman"/>
      <w:b/>
      <w:bCs/>
      <w:kern w:val="2"/>
      <w:lang w:val="en-US" w:eastAsia="zh-CN" w:bidi="ar-SA"/>
    </w:rPr>
  </w:style>
  <w:style w:type="paragraph" w:styleId="13">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5">
    <w:name w:val="Strong"/>
    <w:basedOn w:val="14"/>
    <w:qFormat/>
    <w:uiPriority w:val="22"/>
    <w:rPr>
      <w:b/>
    </w:rPr>
  </w:style>
  <w:style w:type="character" w:styleId="16">
    <w:name w:val="Emphasis"/>
    <w:basedOn w:val="14"/>
    <w:qFormat/>
    <w:uiPriority w:val="20"/>
    <w:rPr>
      <w:i/>
    </w:rPr>
  </w:style>
  <w:style w:type="character" w:styleId="17">
    <w:name w:val="Hyperlink"/>
    <w:basedOn w:val="14"/>
    <w:unhideWhenUsed/>
    <w:qFormat/>
    <w:uiPriority w:val="99"/>
    <w:rPr>
      <w:color w:val="0000FF" w:themeColor="hyperlink"/>
      <w:u w:val="single"/>
      <w14:textFill>
        <w14:solidFill>
          <w14:schemeClr w14:val="hlink"/>
        </w14:solidFill>
      </w14:textFill>
    </w:rPr>
  </w:style>
  <w:style w:type="character" w:styleId="18">
    <w:name w:val="annotation reference"/>
    <w:basedOn w:val="14"/>
    <w:semiHidden/>
    <w:unhideWhenUsed/>
    <w:qFormat/>
    <w:uiPriority w:val="99"/>
    <w:rPr>
      <w:sz w:val="21"/>
      <w:szCs w:val="21"/>
    </w:r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21">
    <w:name w:val="正文文本 3 字符"/>
    <w:basedOn w:val="14"/>
    <w:link w:val="8"/>
    <w:qFormat/>
    <w:uiPriority w:val="0"/>
    <w:rPr>
      <w:rFonts w:ascii="Times New Roman" w:hAnsi="Times New Roman" w:eastAsia="仿宋_GB2312" w:cs="Times New Roman"/>
      <w:kern w:val="0"/>
      <w:sz w:val="28"/>
      <w:szCs w:val="20"/>
    </w:rPr>
  </w:style>
  <w:style w:type="character" w:customStyle="1" w:styleId="22">
    <w:name w:val="章标题 Char"/>
    <w:link w:val="23"/>
    <w:qFormat/>
    <w:uiPriority w:val="0"/>
    <w:rPr>
      <w:rFonts w:ascii="黑体" w:eastAsia="黑体"/>
    </w:rPr>
  </w:style>
  <w:style w:type="paragraph" w:customStyle="1" w:styleId="23">
    <w:name w:val="章标题"/>
    <w:next w:val="24"/>
    <w:link w:val="22"/>
    <w:qFormat/>
    <w:uiPriority w:val="0"/>
    <w:pPr>
      <w:numPr>
        <w:ilvl w:val="1"/>
        <w:numId w:val="1"/>
      </w:numPr>
      <w:spacing w:beforeLines="50" w:afterLines="50"/>
      <w:jc w:val="both"/>
      <w:outlineLvl w:val="1"/>
    </w:pPr>
    <w:rPr>
      <w:rFonts w:ascii="黑体" w:eastAsia="黑体" w:hAnsiTheme="minorHAnsi" w:cstheme="minorBidi"/>
      <w:kern w:val="2"/>
      <w:sz w:val="21"/>
      <w:szCs w:val="22"/>
      <w:lang w:val="en-US" w:eastAsia="zh-CN" w:bidi="ar-SA"/>
    </w:rPr>
  </w:style>
  <w:style w:type="paragraph" w:customStyle="1" w:styleId="24">
    <w:name w:val="段"/>
    <w:link w:val="42"/>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5">
    <w:name w:val="一级条标题 Char"/>
    <w:link w:val="26"/>
    <w:qFormat/>
    <w:uiPriority w:val="0"/>
    <w:rPr>
      <w:rFonts w:eastAsia="黑体"/>
    </w:rPr>
  </w:style>
  <w:style w:type="paragraph" w:customStyle="1" w:styleId="26">
    <w:name w:val="一级条标题"/>
    <w:next w:val="24"/>
    <w:link w:val="25"/>
    <w:qFormat/>
    <w:uiPriority w:val="0"/>
    <w:pPr>
      <w:numPr>
        <w:ilvl w:val="2"/>
        <w:numId w:val="1"/>
      </w:numPr>
      <w:outlineLvl w:val="2"/>
    </w:pPr>
    <w:rPr>
      <w:rFonts w:eastAsia="黑体" w:asciiTheme="minorHAnsi" w:hAnsiTheme="minorHAnsi" w:cstheme="minorBidi"/>
      <w:kern w:val="2"/>
      <w:sz w:val="21"/>
      <w:szCs w:val="22"/>
      <w:lang w:val="en-US" w:eastAsia="zh-CN" w:bidi="ar-SA"/>
    </w:rPr>
  </w:style>
  <w:style w:type="character" w:customStyle="1" w:styleId="27">
    <w:name w:val="页眉 Char"/>
    <w:basedOn w:val="14"/>
    <w:semiHidden/>
    <w:qFormat/>
    <w:uiPriority w:val="99"/>
    <w:rPr>
      <w:sz w:val="18"/>
      <w:szCs w:val="18"/>
    </w:rPr>
  </w:style>
  <w:style w:type="paragraph" w:customStyle="1" w:styleId="28">
    <w:name w:val="目次、标准名称标题"/>
    <w:basedOn w:val="1"/>
    <w:next w:val="1"/>
    <w:qFormat/>
    <w:uiPriority w:val="0"/>
    <w:pPr>
      <w:widowControl/>
      <w:shd w:val="clear" w:color="FFFFFF" w:fill="FFFFFF"/>
      <w:spacing w:before="640" w:after="560" w:line="460" w:lineRule="exact"/>
      <w:jc w:val="center"/>
      <w:outlineLvl w:val="0"/>
    </w:pPr>
    <w:rPr>
      <w:rFonts w:ascii="黑体" w:hAnsi="Times New Roman" w:eastAsia="黑体" w:cs="Times New Roman"/>
      <w:kern w:val="0"/>
      <w:sz w:val="32"/>
      <w:szCs w:val="20"/>
    </w:rPr>
  </w:style>
  <w:style w:type="paragraph" w:customStyle="1" w:styleId="29">
    <w:name w:val="二级条标题"/>
    <w:basedOn w:val="26"/>
    <w:next w:val="24"/>
    <w:qFormat/>
    <w:uiPriority w:val="0"/>
    <w:pPr>
      <w:numPr>
        <w:ilvl w:val="3"/>
      </w:numPr>
      <w:tabs>
        <w:tab w:val="left" w:pos="435"/>
      </w:tabs>
      <w:ind w:left="435" w:hanging="435"/>
      <w:outlineLvl w:val="3"/>
    </w:pPr>
  </w:style>
  <w:style w:type="paragraph" w:customStyle="1" w:styleId="30">
    <w:name w:val="注：（正文）"/>
    <w:basedOn w:val="1"/>
    <w:next w:val="24"/>
    <w:qFormat/>
    <w:uiPriority w:val="0"/>
    <w:pPr>
      <w:numPr>
        <w:ilvl w:val="0"/>
        <w:numId w:val="2"/>
      </w:numPr>
      <w:tabs>
        <w:tab w:val="left" w:pos="1080"/>
      </w:tabs>
      <w:autoSpaceDE w:val="0"/>
      <w:autoSpaceDN w:val="0"/>
      <w:ind w:left="726" w:hanging="363"/>
    </w:pPr>
    <w:rPr>
      <w:rFonts w:ascii="宋体" w:hAnsi="Times New Roman" w:eastAsia="宋体" w:cs="Times New Roman"/>
      <w:kern w:val="0"/>
      <w:sz w:val="18"/>
      <w:szCs w:val="18"/>
    </w:rPr>
  </w:style>
  <w:style w:type="paragraph" w:customStyle="1" w:styleId="31">
    <w:name w:val="前言、引言标题"/>
    <w:next w:val="1"/>
    <w:qFormat/>
    <w:uiPriority w:val="0"/>
    <w:pPr>
      <w:numPr>
        <w:ilvl w:val="0"/>
        <w:numId w:val="1"/>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32">
    <w:name w:val="标准书脚_奇数页"/>
    <w:qFormat/>
    <w:uiPriority w:val="0"/>
    <w:pPr>
      <w:spacing w:before="120"/>
      <w:jc w:val="right"/>
    </w:pPr>
    <w:rPr>
      <w:rFonts w:ascii="Times New Roman" w:hAnsi="Times New Roman" w:eastAsia="宋体" w:cs="Times New Roman"/>
      <w:sz w:val="18"/>
      <w:lang w:val="en-US" w:eastAsia="zh-CN" w:bidi="ar-SA"/>
    </w:rPr>
  </w:style>
  <w:style w:type="character" w:customStyle="1" w:styleId="33">
    <w:name w:val="页眉 字符"/>
    <w:link w:val="11"/>
    <w:qFormat/>
    <w:uiPriority w:val="99"/>
    <w:rPr>
      <w:rFonts w:ascii="Times New Roman" w:hAnsi="Times New Roman" w:eastAsia="宋体" w:cs="Times New Roman"/>
      <w:sz w:val="18"/>
      <w:szCs w:val="18"/>
    </w:rPr>
  </w:style>
  <w:style w:type="character" w:customStyle="1" w:styleId="34">
    <w:name w:val="页脚 字符"/>
    <w:basedOn w:val="14"/>
    <w:link w:val="10"/>
    <w:qFormat/>
    <w:uiPriority w:val="99"/>
    <w:rPr>
      <w:sz w:val="18"/>
      <w:szCs w:val="18"/>
    </w:rPr>
  </w:style>
  <w:style w:type="paragraph" w:styleId="35">
    <w:name w:val="List Paragraph"/>
    <w:basedOn w:val="1"/>
    <w:unhideWhenUsed/>
    <w:qFormat/>
    <w:uiPriority w:val="99"/>
    <w:pPr>
      <w:ind w:firstLine="420" w:firstLineChars="200"/>
    </w:pPr>
    <w:rPr>
      <w:szCs w:val="24"/>
    </w:rPr>
  </w:style>
  <w:style w:type="character" w:customStyle="1" w:styleId="36">
    <w:name w:val="未处理的提及1"/>
    <w:basedOn w:val="14"/>
    <w:semiHidden/>
    <w:unhideWhenUsed/>
    <w:qFormat/>
    <w:uiPriority w:val="99"/>
    <w:rPr>
      <w:color w:val="605E5C"/>
      <w:shd w:val="clear" w:color="auto" w:fill="E1DFDD"/>
    </w:rPr>
  </w:style>
  <w:style w:type="character" w:customStyle="1" w:styleId="37">
    <w:name w:val="批注框文本 字符"/>
    <w:basedOn w:val="14"/>
    <w:link w:val="9"/>
    <w:semiHidden/>
    <w:qFormat/>
    <w:uiPriority w:val="99"/>
    <w:rPr>
      <w:sz w:val="18"/>
      <w:szCs w:val="18"/>
    </w:rPr>
  </w:style>
  <w:style w:type="paragraph" w:customStyle="1" w:styleId="38">
    <w:name w:val="正文 + 宋体"/>
    <w:basedOn w:val="1"/>
    <w:qFormat/>
    <w:uiPriority w:val="0"/>
    <w:pPr>
      <w:spacing w:line="360" w:lineRule="auto"/>
      <w:ind w:firstLine="480" w:firstLineChars="200"/>
    </w:pPr>
    <w:rPr>
      <w:rFonts w:ascii="宋体" w:hAnsi="宋体" w:eastAsia="宋体" w:cs="Times New Roman"/>
      <w:sz w:val="24"/>
      <w:szCs w:val="24"/>
    </w:rPr>
  </w:style>
  <w:style w:type="character" w:customStyle="1" w:styleId="39">
    <w:name w:val="fontstyle01"/>
    <w:basedOn w:val="14"/>
    <w:qFormat/>
    <w:uiPriority w:val="0"/>
    <w:rPr>
      <w:rFonts w:hint="eastAsia" w:ascii="仿宋" w:hAnsi="仿宋" w:eastAsia="仿宋"/>
      <w:color w:val="000000"/>
      <w:sz w:val="30"/>
      <w:szCs w:val="30"/>
    </w:rPr>
  </w:style>
  <w:style w:type="paragraph" w:customStyle="1" w:styleId="40">
    <w:name w:val="Default"/>
    <w:qFormat/>
    <w:uiPriority w:val="0"/>
    <w:pPr>
      <w:widowControl w:val="0"/>
      <w:autoSpaceDE w:val="0"/>
      <w:autoSpaceDN w:val="0"/>
      <w:adjustRightInd w:val="0"/>
    </w:pPr>
    <w:rPr>
      <w:rFonts w:ascii="FZXiaoBiaoSong-B05S" w:hAnsi="Calibri" w:eastAsia="FZXiaoBiaoSong-B05S" w:cs="FZXiaoBiaoSong-B05S"/>
      <w:color w:val="000000"/>
      <w:sz w:val="24"/>
      <w:szCs w:val="24"/>
      <w:lang w:val="en-US" w:eastAsia="zh-CN" w:bidi="ar-SA"/>
    </w:rPr>
  </w:style>
  <w:style w:type="character" w:customStyle="1" w:styleId="41">
    <w:name w:val="未处理的提及2"/>
    <w:basedOn w:val="14"/>
    <w:semiHidden/>
    <w:unhideWhenUsed/>
    <w:qFormat/>
    <w:uiPriority w:val="99"/>
    <w:rPr>
      <w:color w:val="605E5C"/>
      <w:shd w:val="clear" w:color="auto" w:fill="E1DFDD"/>
    </w:rPr>
  </w:style>
  <w:style w:type="character" w:customStyle="1" w:styleId="42">
    <w:name w:val="段 Char"/>
    <w:basedOn w:val="14"/>
    <w:link w:val="24"/>
    <w:qFormat/>
    <w:uiPriority w:val="0"/>
    <w:rPr>
      <w:rFonts w:ascii="宋体" w:hAnsi="Times New Roman" w:eastAsia="宋体" w:cs="Times New Roman"/>
      <w:kern w:val="0"/>
      <w:szCs w:val="20"/>
    </w:rPr>
  </w:style>
  <w:style w:type="paragraph" w:customStyle="1" w:styleId="43">
    <w:name w:val="修订1"/>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44">
    <w:name w:val="批注文字 字符"/>
    <w:basedOn w:val="14"/>
    <w:link w:val="6"/>
    <w:semiHidden/>
    <w:qFormat/>
    <w:uiPriority w:val="99"/>
    <w:rPr>
      <w:rFonts w:asciiTheme="minorHAnsi" w:hAnsiTheme="minorHAnsi" w:eastAsiaTheme="minorEastAsia" w:cstheme="minorBidi"/>
      <w:kern w:val="2"/>
      <w:sz w:val="21"/>
      <w:szCs w:val="22"/>
    </w:rPr>
  </w:style>
  <w:style w:type="character" w:customStyle="1" w:styleId="45">
    <w:name w:val="批注主题 字符"/>
    <w:basedOn w:val="44"/>
    <w:link w:val="5"/>
    <w:semiHidden/>
    <w:qFormat/>
    <w:uiPriority w:val="99"/>
    <w:rPr>
      <w:rFonts w:asciiTheme="minorHAnsi" w:hAnsiTheme="minorHAnsi" w:eastAsiaTheme="minorEastAsia" w:cstheme="minorBidi"/>
      <w:b/>
      <w:bCs/>
      <w:kern w:val="2"/>
      <w:sz w:val="21"/>
      <w:szCs w:val="22"/>
    </w:rPr>
  </w:style>
  <w:style w:type="paragraph" w:customStyle="1" w:styleId="46">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7">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8">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9">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1749</Words>
  <Characters>9970</Characters>
  <Lines>83</Lines>
  <Paragraphs>23</Paragraphs>
  <TotalTime>5</TotalTime>
  <ScaleCrop>false</ScaleCrop>
  <LinksUpToDate>false</LinksUpToDate>
  <CharactersWithSpaces>11696</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2026-08-30T17:58:00Z</dcterms:created>
  <dc:creator>fengxue</dc:creator>
  <cp:lastModifiedBy>明</cp:lastModifiedBy>
  <cp:lastPrinted>2022-01-13T06:40:00Z</cp:lastPrinted>
  <dcterms:modified xsi:type="dcterms:W3CDTF">2026-11-02T07:21:55Z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A41CDC67E96E41A984E5C965460D1927_13</vt:lpwstr>
  </property>
  <property fmtid="{D5CDD505-2E9C-101B-9397-08002B2CF9AE}" pid="4" name="KSOTemplateDocerSaveRecord">
    <vt:lpwstr>eyJoZGlkIjoiYTczNGZkOTUwZWQ2YzAxMjAxYWRmN2M3YTgzMjk3M2EiLCJ1c2VySWQiOiI1NjQ5NTE1MDUifQ==</vt:lpwstr>
  </property>
</Properties>
</file>